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2026-10-16 01:58:20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(2019, sec. 8.2, pp. 369–377)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(2007, sec. 11.2.1, pp. 421–432)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(2007, sec. 11.3.1, pp. 446–447)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(2019, sec. 7.2, pp. 314–322)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(2019, sec. 9.3, pp. 446–455)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11.2, pp. 522–538)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(2007, sec. 12.2, pp. 477–488)</w:t>
      </w:r>
      <w:r>
        <w:t xml:space="preserve"> </w:t>
      </w:r>
      <w:r>
        <w:t xml:space="preserve">covers the one-way layout.</w:t>
      </w:r>
    </w:p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7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9"/>
    <w:bookmarkStart w:id="81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80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81"/>
    <w:bookmarkStart w:id="8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82"/>
    <w:bookmarkStart w:id="8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2026-10-16T09:02:32Z</dcterms:created>
  <dcterms:modified xsi:type="dcterms:W3CDTF">2026-10-16T09:02:32Z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01:58:20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