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2026-10-17 09:18:12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1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4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bookmarkStart w:id="40" w:name="rem-source-fdr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(1995)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40"/>
    <w:bookmarkStart w:id="41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1"/>
    <w:bookmarkStart w:id="42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2"/>
    <w:bookmarkStart w:id="43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3"/>
    <w:bookmarkEnd w:id="44"/>
    <w:bookmarkStart w:id="50" w:name="sec-valid-p-values"/>
    <w:p>
      <w:pPr>
        <w:pStyle w:val="Heading3"/>
      </w:pPr>
      <w:r>
        <w:t xml:space="preserve">3.4 Valid p-values</w:t>
      </w:r>
    </w:p>
    <w:bookmarkStart w:id="45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6"/>
    <w:bookmarkStart w:id="47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7"/>
    <w:bookmarkStart w:id="49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8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9"/>
    <w:bookmarkEnd w:id="50"/>
    <w:bookmarkEnd w:id="51"/>
    <w:bookmarkStart w:id="74" w:name="sec-fwer-control"/>
    <w:p>
      <w:pPr>
        <w:pStyle w:val="Heading2"/>
      </w:pPr>
      <w:r>
        <w:t xml:space="preserve">4 Controlling the family-wise error rate</w:t>
      </w:r>
    </w:p>
    <w:bookmarkStart w:id="64" w:name="sec-bonferroni"/>
    <w:p>
      <w:pPr>
        <w:pStyle w:val="Heading3"/>
      </w:pPr>
      <w:r>
        <w:t xml:space="preserve">4.1 The Bonferroni correction</w:t>
      </w:r>
    </w:p>
    <w:bookmarkStart w:id="52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52"/>
    <w:bookmarkStart w:id="53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3"/>
    <w:bookmarkStart w:id="54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4"/>
    <w:bookmarkStart w:id="55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5"/>
    <w:bookmarkStart w:id="56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8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8"/>
    <w:bookmarkStart w:id="59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59"/>
    <w:bookmarkStart w:id="60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0"/>
    <w:bookmarkStart w:id="61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2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3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3"/>
    <w:bookmarkEnd w:id="64"/>
    <w:bookmarkStart w:id="73" w:name="sec-holm"/>
    <w:p>
      <w:pPr>
        <w:pStyle w:val="Heading3"/>
      </w:pPr>
      <w:r>
        <w:t xml:space="preserve">4.2 Holm’s step-down procedure</w:t>
      </w:r>
    </w:p>
    <w:bookmarkStart w:id="65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5"/>
    <w:bookmarkStart w:id="66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6"/>
    <w:bookmarkStart w:id="67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7"/>
    <w:bookmarkStart w:id="68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8"/>
    <w:bookmarkStart w:id="69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69"/>
    <w:bookmarkStart w:id="70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1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2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2"/>
    <w:p>
      <w:pPr>
        <w:pStyle w:val="Compact"/>
        <w:numPr>
          <w:ilvl w:val="0"/>
          <w:numId w:val="1004"/>
        </w:numPr>
      </w:pPr>
      <w:r>
        <w:t xml:space="preserve">Casella and Berger (2002, sec. 11.2.5, pp. 534–535)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(2007, sec. 12.2.2, pp. 485–487)</w:t>
      </w:r>
      <w:r>
        <w:t xml:space="preserve"> </w:t>
      </w:r>
      <w:r>
        <w:t xml:space="preserve">covers multiple comparisons.</w:t>
      </w:r>
    </w:p>
    <w:bookmarkEnd w:id="73"/>
    <w:bookmarkEnd w:id="74"/>
    <w:bookmarkStart w:id="84" w:name="sec-fdr-control"/>
    <w:p>
      <w:pPr>
        <w:pStyle w:val="Heading2"/>
      </w:pPr>
      <w:r>
        <w:t xml:space="preserve">5 Controlling the false discovery rate</w:t>
      </w:r>
    </w:p>
    <w:bookmarkStart w:id="83" w:name="sec-bh"/>
    <w:p>
      <w:pPr>
        <w:pStyle w:val="Heading3"/>
      </w:pPr>
      <w:r>
        <w:t xml:space="preserve">5.1 The Benjamini–Hochberg procedure</w:t>
      </w:r>
    </w:p>
    <w:bookmarkStart w:id="75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5"/>
    <w:bookmarkStart w:id="76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6"/>
    <w:bookmarkStart w:id="77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7"/>
    <w:bookmarkStart w:id="78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8"/>
    <w:bookmarkStart w:id="79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79"/>
    <w:bookmarkStart w:id="80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(1995)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0"/>
    <w:bookmarkStart w:id="81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1"/>
    <w:bookmarkStart w:id="82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2"/>
    <w:bookmarkEnd w:id="83"/>
    <w:bookmarkEnd w:id="84"/>
    <w:bookmarkStart w:id="89" w:name="sec-adjusted-p-values"/>
    <w:p>
      <w:pPr>
        <w:pStyle w:val="Heading2"/>
      </w:pPr>
      <w:r>
        <w:t xml:space="preserve">6 Adjusted p-values and q-values</w:t>
      </w:r>
    </w:p>
    <w:bookmarkStart w:id="85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5"/>
    <w:bookmarkStart w:id="86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6"/>
    <w:bookmarkStart w:id="87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7"/>
    <w:bookmarkStart w:id="88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8"/>
    <w:bookmarkEnd w:id="89"/>
    <w:bookmarkStart w:id="92" w:name="sec-procedure-comparison"/>
    <w:p>
      <w:pPr>
        <w:pStyle w:val="Heading2"/>
      </w:pPr>
      <w:r>
        <w:t xml:space="preserve">7 Comparing the procedures</w:t>
      </w:r>
    </w:p>
    <w:bookmarkStart w:id="90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0"/>
    <w:bookmarkStart w:id="91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1"/>
    <w:bookmarkEnd w:id="92"/>
    <w:bookmarkStart w:id="95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3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4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5"/>
    <w:bookmarkStart w:id="113" w:name="references"/>
    <w:p>
      <w:pPr>
        <w:pStyle w:val="Heading2"/>
      </w:pPr>
      <w:r>
        <w:t xml:space="preserve">References</w:t>
      </w:r>
    </w:p>
    <w:bookmarkStart w:id="112" w:name="refs"/>
    <w:bookmarkStart w:id="97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6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7"/>
    <w:bookmarkStart w:id="99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8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99"/>
    <w:bookmarkStart w:id="10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1"/>
    <w:bookmarkStart w:id="103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2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3"/>
    <w:bookmarkStart w:id="104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4"/>
    <w:bookmarkStart w:id="10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6"/>
    <w:bookmarkStart w:id="108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7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8"/>
    <w:bookmarkStart w:id="10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09"/>
    <w:bookmarkStart w:id="111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10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11"/>
    <w:bookmarkEnd w:id="112"/>
    <w:bookmarkEnd w:id="1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8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5" Target="https://doi.org/10.1007/978-1-0716-1418-1" TargetMode="External" /><Relationship Type="http://schemas.openxmlformats.org/officeDocument/2006/relationships/hyperlink" Id="rId102" Target="https://doi.org/10.1017/CBO9781316576533" TargetMode="External" /><Relationship Type="http://schemas.openxmlformats.org/officeDocument/2006/relationships/hyperlink" Id="rId107" Target="https://doi.org/10.1038/89044" TargetMode="External" /><Relationship Type="http://schemas.openxmlformats.org/officeDocument/2006/relationships/hyperlink" Id="rId110" Target="https://doi.org/10.1111/1467-9868.00346" TargetMode="External" /><Relationship Type="http://schemas.openxmlformats.org/officeDocument/2006/relationships/hyperlink" Id="rId96" Target="https://doi.org/10.1111/j.2517-6161.1995.tb02031.x" TargetMode="External" /><Relationship Type="http://schemas.openxmlformats.org/officeDocument/2006/relationships/hyperlink" Id="rId98" Target="https://doi.org/10.1214/aos/1013699998" TargetMode="External" /><Relationship Type="http://schemas.openxmlformats.org/officeDocument/2006/relationships/hyperlink" Id="rId93" Target="https://web.stanford.edu/~lindrew/stats300C.pdf" TargetMode="External" /><Relationship Type="http://schemas.openxmlformats.org/officeDocument/2006/relationships/hyperlink" Id="rId100" Target="https://www.cengage.com/c/statistical-inference-2e-casella-berger/9780534243128/" TargetMode="External" /><Relationship Type="http://schemas.openxmlformats.org/officeDocument/2006/relationships/hyperlink" Id="rId94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8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5" Target="https://doi.org/10.1007/978-1-0716-1418-1" TargetMode="External" /><Relationship Type="http://schemas.openxmlformats.org/officeDocument/2006/relationships/hyperlink" Id="rId102" Target="https://doi.org/10.1017/CBO9781316576533" TargetMode="External" /><Relationship Type="http://schemas.openxmlformats.org/officeDocument/2006/relationships/hyperlink" Id="rId107" Target="https://doi.org/10.1038/89044" TargetMode="External" /><Relationship Type="http://schemas.openxmlformats.org/officeDocument/2006/relationships/hyperlink" Id="rId110" Target="https://doi.org/10.1111/1467-9868.00346" TargetMode="External" /><Relationship Type="http://schemas.openxmlformats.org/officeDocument/2006/relationships/hyperlink" Id="rId96" Target="https://doi.org/10.1111/j.2517-6161.1995.tb02031.x" TargetMode="External" /><Relationship Type="http://schemas.openxmlformats.org/officeDocument/2006/relationships/hyperlink" Id="rId98" Target="https://doi.org/10.1214/aos/1013699998" TargetMode="External" /><Relationship Type="http://schemas.openxmlformats.org/officeDocument/2006/relationships/hyperlink" Id="rId93" Target="https://web.stanford.edu/~lindrew/stats300C.pdf" TargetMode="External" /><Relationship Type="http://schemas.openxmlformats.org/officeDocument/2006/relationships/hyperlink" Id="rId100" Target="https://www.cengage.com/c/statistical-inference-2e-casella-berger/9780534243128/" TargetMode="External" /><Relationship Type="http://schemas.openxmlformats.org/officeDocument/2006/relationships/hyperlink" Id="rId94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2026-10-17T16:31:23Z</dcterms:created>
  <dcterms:modified xsi:type="dcterms:W3CDTF">2026-10-17T16:31:23Z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09:18:12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