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2026-10-17 08:57:23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09:18:12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1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is a number or vector we can compute.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\text{ does not depend on } \theta
    \quad \text{wherever } \Pr_{\theta}\mathopen{}\left(T\mathopen{}\left(\mathord{\smash[b]{\underset{\raise.3ex\hbox{$\scriptstyle\sim$}}{X}}\vphantom{X}}\right)\mathclose{} = t\right)\mathclose{} &gt; 0
     \qquad(1)$$</w:t>
      </w:r>
      <w:bookmarkEnd w:id="13"/>
    </w:p>
    <w:bookmarkEnd w:id="14"/>
    <w:bookmarkStart w:id="15" w:name="rem-source-sufficient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(1922)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(2002, Def. 6.2.1, p. 272)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$T\mathopen{}\left(\mathord{\smash[b]{\underset{\raise.3ex\hbox{$\scriptstyle\sim$}}{X}}\vphantom{X}}\right)\mathclose{}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g\mathopen{}\left(T\mathopen{}\left(\mathord{\smash[b]{\underset{\raise.3ex\hbox{$\scriptstyle\sim$}}{x}}\vphantom{x}}\right)\mathclose{} ; \theta\right)\mathclose{} \, h\mathopen{}\left(\mathord{\smash[b]{\underset{\raise.3ex\hbox{$\scriptstyle\sim$}}{x}}\vphantom{x}}\right)\mathclose{}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\stackrel{\text{def}}{=}T\mathopen{}\left(\mathord{\smash[b]{\underset{\raise.3ex\hbox{$\scriptstyle\sim$}}{x}}\vphantom{x}}\right)\mathclose{}$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$g\mathopen{}\left(t ; \theta\right)\mathclose{} \stackrel{\text{def}}{=}\Pr_{\theta}\mathopen{}\left(T\mathopen{}\left(\mathord{\smash[b]{\underset{\raise.3ex\hbox{$\scriptstyle\sim$}}{X}}\vphantom{X}}\right)\mathclose{}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$h\mathopen{}\left(\mathord{\smash[b]{\underset{\raise.3ex\hbox{$\scriptstyle\sim$}}{x}}\vphantom{x}}\right)\mathclose{}$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$h\mathopen{}\left(\mathord{\smash[b]{\underset{\raise.3ex\hbox{$\scriptstyle\sim$}}{x}}\vphantom{x}}\right)\mathclose{}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T\mathopen{}\left(\mathord{\smash[b]{\underset{\raise.3ex\hbox{$\scriptstyle\sim$}}{X}}\vphantom{X}}\right)\mathclose{} = t\right)\mathclose{}
    &amp;&amp; \text{(the first event is inside the second)}\\
    &amp;= \Pr_{\theta}\mathopen{}\left(T\mathopen{}\left(\mathord{\smash[b]{\underset{\raise.3ex\hbox{$\scriptstyle\sim$}}{X}}\vphantom{X}}\right)\mathclose{} = t\right)\mathclose{} \,
   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probability)}\\
    &amp;= g\mathopen{}\left(t ; \theta\right)\mathclose{} \, h\mathopen{}\left(\mathord{\smash[b]{\underset{\raise.3ex\hbox{$\scriptstyle\sim$}}{x}}\vphantom{x}}\right)\mathclose{}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$\Pr_{\theta}\mathopen{}\left(T\mathopen{}\left(\mathord{\smash[b]{\underset{\raise.3ex\hbox{$\scriptstyle\sim$}}{X}}\vphantom{X}}\right)\mathclose{}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$T\mathopen{}\left(\mathord{\smash[b]{\underset{\raise.3ex\hbox{$\scriptstyle\sim$}}{y}}\vphantom{y}}\right)\mathclose{}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\Pr_{\theta}\mathopen{}\left(T\mathopen{}\left(\mathord{\smash[b]{\underset{\raise.3ex\hbox{$\scriptstyle\sim$}}{X}}\vphantom{X}}\right)\mathclose{} = t\right)\mathclose{}
    &amp;= \sum_{\mathord{\smash[b]{\underset{\raise.3ex\hbox{$\scriptstyle\sim$}}{y}}\vphantom{y}}:\, T\mathopen{}\left(\mathord{\smash[b]{\underset{\raise.3ex\hbox{$\scriptstyle\sim$}}{y}}\vphantom{y}}\right)\mathclose{}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T\mathopen{}\left(\mathord{\smash[b]{\underset{\raise.3ex\hbox{$\scriptstyle\sim$}}{y}}\vphantom{y}}\right)\mathclose{} = t} g\mathopen{}\left(T\mathopen{}\left(\mathord{\smash[b]{\underset{\raise.3ex\hbox{$\scriptstyle\sim$}}{y}}\vphantom{y}}\right)\mathclose{} ; \theta\right)\mathclose{} \, h\mathopen{}\left(\mathord{\smash[b]{\underset{\raise.3ex\hbox{$\scriptstyle\sim$}}{y}}\vphantom{y}}\right)\mathclose{}
    &amp;&amp; \text{(factorization)}\\
    &amp;= \sum_{\mathord{\smash[b]{\underset{\raise.3ex\hbox{$\scriptstyle\sim$}}{y}}\vphantom{y}}:\, T\mathopen{}\left(\mathord{\smash[b]{\underset{\raise.3ex\hbox{$\scriptstyle\sim$}}{y}}\vphantom{y}}\right)\mathclose{} = t} g\mathopen{}\left(t ; \theta\right)\mathclose{} \, h\mathopen{}\left(\mathord{\smash[b]{\underset{\raise.3ex\hbox{$\scriptstyle\sim$}}{y}}\vphantom{y}}\right)\mathclose{}
    &amp;&amp; \text{(each term has $T\mathopen{}\left(\mathord{\smash[b]{\underset{\raise.3ex\hbox{$\scriptstyle\sim$}}{y}}\vphantom{y}}\right)\mathclose{} = t$)}\\
    &amp;= 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&amp;= \frac{\operatorname{f}\mathopen{}\left(\mathord{\smash[b]{\underset{\raise.3ex\hbox{$\scriptstyle\sim$}}{x}}\vphantom{x}}; \theta\right)\mathclose{}}{\Pr_{\theta}\mathopen{}\left(T\mathopen{}\left(\mathord{\smash[b]{\underset{\raise.3ex\hbox{$\scriptstyle\sim$}}{X}}\vphantom{X}}\right)\mathclose{} = t\right)\mathclose{}}
    &amp;&amp; \text{(conditional probability)}\\
    &amp;= \frac{g\mathopen{}\left(t ; \theta\right)\mathclose{} \, h\mathopen{}\left(\mathord{\smash[b]{\underset{\raise.3ex\hbox{$\scriptstyle\sim$}}{x}}\vphantom{x}}\right)\mathclose{}}
            {g\mathopen{}\left(t ; \theta\right)\mathclose{} 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\text{(factorization, and the display above)}\\
    &amp;= \frac{h\mathopen{}\left(\mathord{\smash[b]{\underset{\raise.3ex\hbox{$\scriptstyle\sim$}}{x}}\vphantom{x}}\right)\mathclose{}}{\sum_{\mathord{\smash[b]{\underset{\raise.3ex\hbox{$\scriptstyle\sim$}}{y}}\vphantom{y}}:\, T\mathopen{}\left(\mathord{\smash[b]{\underset{\raise.3ex\hbox{$\scriptstyle\sim$}}{y}}\vphantom{y}}\right)\mathclose{} = t} h\mathopen{}\left(\mathord{\smash[b]{\underset{\raise.3ex\hbox{$\scriptstyle\sim$}}{y}}\vphantom{y}}\right)\mathclose{}}
    &amp;&amp; \text{(divide by $g\mathopen{}\left(t ; \theta\right)\mathclose{}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$T\mathopen{}\left(\mathord{\smash[b]{\underset{\raise.3ex\hbox{$\scriptstyle\sim$}}{x}}\vphantom{x}}\right)\mathclose{}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sufficient.</w:t>
      </w:r>
    </w:p>
    <w:bookmarkStart w:id="19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(1949)</w:t>
      </w:r>
      <w:r>
        <w:t xml:space="preserve">, whom</w:t>
      </w:r>
      <w:r>
        <w:t xml:space="preserve"> </w:t>
      </w:r>
      <w:r>
        <w:t xml:space="preserve">Casella and Berger (2002, Thm. 6.2.6, p. 276, and its footnote)</w:t>
      </w:r>
      <w:r>
        <w:t xml:space="preserve"> </w:t>
      </w:r>
      <w:r>
        <w:t xml:space="preserve">credit with the general form, and Neyman (1935) with an earlier one.</w:t>
      </w:r>
    </w:p>
    <w:bookmarkEnd w:id="19"/>
    <w:bookmarkStart w:id="20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$h\mathopen{}\left(\mathord{\smash[b]{\underset{\raise.3ex\hbox{$\scriptstyle\sim$}}{x}}\vphantom{x}}\right)\mathclose{}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0"/>
    <w:bookmarkEnd w:id="21"/>
    <w:bookmarkStart w:id="44" w:name="sec-rao-blackwell"/>
    <w:p>
      <w:pPr>
        <w:pStyle w:val="Heading2"/>
      </w:pPr>
      <w:r>
        <w:t xml:space="preserve">2 The Rao–Blackwell theorem</w:t>
      </w:r>
    </w:p>
    <w:bookmarkStart w:id="23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2" w:name="eq-rao-blackwellized"/>
      <w:r>
        <w:t xml:space="preserve">$$
    \hat{\theta}_{\mathrm{RB}} \stackrel{\text{def}}{=}{\operatorname{E}\mathopen{}\left[\hat{\theta} \mid T\mathopen{}\left(\mathord{\smash[b]{\underset{\raise.3ex\hbox{$\scriptstyle\sim$}}{X}}\vphantom{X}}\right)\mathclose{}\right]\mathclose{}}
     \qquad(3)$$</w:t>
      </w:r>
      <w:bookmarkEnd w:id="22"/>
    </w:p>
    <w:bookmarkEnd w:id="23"/>
    <w:bookmarkStart w:id="24" w:name="lem-rb-statistic"/>
    <w:p>
      <w:pPr>
        <w:pStyle w:val="FirstParagraph"/>
      </w:pPr>
      <w:r>
        <w:rPr>
          <w:b/>
          <w:bCs/>
        </w:rPr>
        <w:t xml:space="preserve">Lemma 1 (The Rao–Blackwellized estimator is a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expectation.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and an estimator.</w:t>
      </w:r>
    </w:p>
    <w:bookmarkEnd w:id="2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 discrete sample, and fix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takes with positive probability.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r>
        <w:t xml:space="preserve">$$
    \begin{aligned}
    {\operatorname{E}\mathopen{}\left[\hat{\theta} \mid T\mathopen{}\left(\mathord{\smash[b]{\underset{\raise.3ex\hbox{$\scriptstyle\sim$}}{X}}\vphantom{X}}\right)\mathclose{} = t\right]\mathclose{}}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 T\mathopen{}\left(\mathord{\smash[b]{\underset{\raise.3ex\hbox{$\scriptstyle\sim$}}{X}}\vphantom{X}}\right)\mathclose{} = t\right)\mathclose{}
    &amp;&amp; \text{(conditional expectation)}
    \end{aligned}
    $$</w:t>
      </w:r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6" w:name="thm-rb-unbiased"/>
    <w:p>
      <w:pPr>
        <w:pStyle w:val="BodyText"/>
      </w:pPr>
      <w:r>
        <w:rPr>
          <w:b/>
          <w:bCs/>
        </w:rPr>
        <w:t xml:space="preserve">Theorem 2 (Rao–Blackwellizing preserves unbiasedness)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is also unbiased for</w:t>
      </w:r>
      <w:r>
        <w:t xml:space="preserve"> </w:t>
      </w:r>
      <m:oMath>
        <m:r>
          <m:t>θ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27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\operatorname{E}\mathopen{}\left[{\operatorname{E}\mathopen{}\left[\hat{\theta} \mid T\mathopen{}\left(\mathord{\smash[b]{\underset{\raise.3ex\hbox{$\scriptstyle\sim$}}{X}}\vphantom{X}}\right)\mathclose{}\right]\mathclose{}}\right]\mathclose{}
    &amp;= \operatorname{E}\mathopen{}\left[\hat{\theta}\right]\mathclose{}
    &amp;&amp; \text{(law of iterated expectations)}\\
    &amp;= \theta
    &amp;&amp; \text{($\hat{\theta}$ is unbiased)}
    \end{aligned}
    $$</w:t>
      </w:r>
    </w:p>
    <w:bookmarkStart w:id="29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8" w:name="eq-rao-blackwell"/>
      <w:r>
        <w:t xml:space="preserve">$$
    \operatorname{Var}\mathopen{}\left({\operatorname{E}\mathopen{}\left[\hat{\theta} \mid T\mathopen{}\left(\mathord{\smash[b]{\underset{\raise.3ex\hbox{$\scriptstyle\sim$}}{X}}\vphantom{X}}\right)\mathclose{}\right]\mathclose{}}\right)\mathclose{} \le \operatorname{Var}\mathopen{}\left(\hat{\theta}\right)\mathclose{}
     \qquad(4)$$</w:t>
      </w:r>
      <w:bookmarkEnd w:id="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(Rao 1945; Blackwell 1947; Casella and Berger 2002, Thm. 7.3.17, p. 342)</w:t>
      </w:r>
      <w:r>
        <w:t xml:space="preserve">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0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\operatorname{Var}\mathopen{}\left(\hat{\theta}\right)\mathclose{}
    &amp;= \operatorname{Var}\mathopen{}\left({\operatorname{E}\mathopen{}\left[\hat{\theta} \mid T\mathopen{}\left(\mathord{\smash[b]{\underset{\raise.3ex\hbox{$\scriptstyle\sim$}}{X}}\vphantom{X}}\right)\mathclose{}\right]\mathclose{}}\right)\mathclose{} + \operatorname{E}\mathopen{}\left[{\operatorname{Var}\mathopen{}\left(\hat{\theta} \mid T\mathopen{}\left(\mathord{\smash[b]{\underset{\raise.3ex\hbox{$\scriptstyle\sim$}}{X}}\vphantom{X}}\right)\mathclose{}\right)\mathclose{}}\right]\mathclose{}
    &amp;&amp; \text{(law of total variance)}\\
    &amp;\ge \operatorname{Var}\mathopen{}\left({\operatorname{E}\mathopen{}\left[\hat{\theta} \mid T\mathopen{}\left(\mathord{\smash[b]{\underset{\raise.3ex\hbox{$\scriptstyle\sim$}}{X}}\vphantom{X}}\right)\mathclose{}\right]\mathclose{}}\right)\mathclose{}
    &amp;&amp; \text{(a variance is nonnegative)}
    \end{aligned}
    $$</w:t>
      </w:r>
    </w:p>
    <w:bookmarkStart w:id="32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1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3"/>
    <w:bookmarkStart w:id="35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4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2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6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1"/>
        </w:tc>
      </w:tr>
    </w:tbl>
    <w:bookmarkEnd w:id="42"/>
    <w:bookmarkStart w:id="43" w:name="rem-rb-insufficient"/>
    <w:p>
      <w:pPr>
        <w:pStyle w:val="BodyText"/>
      </w:pPr>
      <w:r>
        <w:rPr>
          <w:i/>
          <w:iCs/>
        </w:rPr>
        <w:t xml:space="preserve">Remark 5</w:t>
      </w:r>
      <w:r>
        <w:t xml:space="preserve"> (Sufficiency is needed). </w:t>
      </w:r>
      <w:r>
        <w:t xml:space="preserve">If</w:t>
      </w:r>
      <w:r>
        <w:t xml:space="preserve"> </w:t>
      </w:r>
      <w:r>
        <w:t xml:space="preserve">$T\mathopen{}\left(\mathord{\smash[b]{\underset{\raise.3ex\hbox{$\scriptstyle\sim$}}{X}}\vphantom{X}}\right)\mathclose{}$</w:t>
      </w:r>
      <w:r>
        <w:t xml:space="preserve"> </w:t>
      </w:r>
      <w:r>
        <w:t xml:space="preserve">is not sufficient, then</w:t>
      </w:r>
      <w:r>
        <w:t xml:space="preserve"> </w:t>
      </w:r>
      <w:r>
        <w:t xml:space="preserve">${\operatorname{E}\mathopen{}\left[\hat{\theta} \mid T\mathopen{}\left(\mathord{\smash[b]{\underset{\raise.3ex\hbox{$\scriptstyle\sim$}}{X}}\vphantom{X}}\right)\mathclose{}\right]\mathclose{}}$</w:t>
      </w:r>
      <w:r>
        <w:t xml:space="preserve"> </w:t>
      </w:r>
      <w:r>
        <w:t xml:space="preserve">may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in which case it is not an estimator at all</w:t>
      </w:r>
      <w:r>
        <w:t xml:space="preserve"> </w:t>
      </w:r>
      <w:r>
        <w:t xml:space="preserve">(</w:t>
      </w:r>
      <w:r>
        <w:t xml:space="preserve">Casella and Berger (2002, Example 7.3.18)</w:t>
      </w:r>
      <w:r>
        <w:t xml:space="preserve">).</w:t>
      </w:r>
    </w:p>
    <w:bookmarkEnd w:id="43"/>
    <w:bookmarkEnd w:id="44"/>
    <w:bookmarkStart w:id="46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6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48" w:name="ref-blackwell1947conditional"/>
    <w:p>
      <w:pPr>
        <w:pStyle w:val="Bibliography"/>
      </w:pPr>
      <w:r>
        <w:t xml:space="preserve">Blackwell, David. 1947.</w:t>
      </w:r>
      <w:r>
        <w:t xml:space="preserve"> </w:t>
      </w:r>
      <w:r>
        <w:t xml:space="preserve">“Conditional Expectation and Unbiased Sequential Estimation.”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18 (1): 105–10.</w:t>
      </w:r>
      <w:r>
        <w:t xml:space="preserve"> </w:t>
      </w:r>
      <w:hyperlink r:id="rId47">
        <w:r>
          <w:rPr>
            <w:rStyle w:val="Hyperlink"/>
          </w:rPr>
          <w:t xml:space="preserve">https://doi.org/10.1214/aoms/1177730497</w:t>
        </w:r>
      </w:hyperlink>
      <w:r>
        <w:t xml:space="preserve">.</w:t>
      </w:r>
    </w:p>
    <w:bookmarkEnd w:id="48"/>
    <w:bookmarkStart w:id="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50"/>
    <w:bookmarkStart w:id="52" w:name="ref-fisher1922mathematical"/>
    <w:p>
      <w:pPr>
        <w:pStyle w:val="Bibliography"/>
      </w:pPr>
      <w:r>
        <w:t xml:space="preserve">Fisher, Ronald A. 1922.</w:t>
      </w:r>
      <w:r>
        <w:t xml:space="preserve"> </w:t>
      </w:r>
      <w:r>
        <w:t xml:space="preserve">“On the Mathematical Foundations of Theoretical Statistics.”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 </w:t>
      </w:r>
      <w:r>
        <w:t xml:space="preserve">222 (594–604): 309–68.</w:t>
      </w:r>
      <w:r>
        <w:t xml:space="preserve"> </w:t>
      </w:r>
      <w:hyperlink r:id="rId51">
        <w:r>
          <w:rPr>
            <w:rStyle w:val="Hyperlink"/>
          </w:rPr>
          <w:t xml:space="preserve">https://doi.org/10.1098/rsta.1922.0009</w:t>
        </w:r>
      </w:hyperlink>
      <w:r>
        <w:t xml:space="preserve">.</w:t>
      </w:r>
    </w:p>
    <w:bookmarkEnd w:id="52"/>
    <w:bookmarkStart w:id="54" w:name="ref-halmos1949application"/>
    <w:p>
      <w:pPr>
        <w:pStyle w:val="Bibliography"/>
      </w:pPr>
      <w:r>
        <w:t xml:space="preserve">Halmos, Paul R., and Leonard J. Savage. 1949.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20 (2): 225–41.</w:t>
      </w:r>
      <w:r>
        <w:t xml:space="preserve"> </w:t>
      </w:r>
      <w:hyperlink r:id="rId53">
        <w:r>
          <w:rPr>
            <w:rStyle w:val="Hyperlink"/>
          </w:rPr>
          <w:t xml:space="preserve">https://doi.org/10.1214/aoms/1177730032</w:t>
        </w:r>
      </w:hyperlink>
      <w:r>
        <w:t xml:space="preserve">.</w:t>
      </w:r>
    </w:p>
    <w:bookmarkEnd w:id="54"/>
    <w:bookmarkStart w:id="55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55"/>
    <w:bookmarkStart w:id="56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5" Type="http://schemas.openxmlformats.org/officeDocument/2006/relationships/hyperlink" Target="estimation.qmd#def-unbiased" TargetMode="External"/><Relationship Id="rId36" Type="http://schemas.openxmlformats.org/officeDocument/2006/relationships/hyperlink" Target="https://cran.r-project.org/package=MASS" TargetMode="External"/><Relationship Id="rId51" Type="http://schemas.openxmlformats.org/officeDocument/2006/relationships/hyperlink" Target="https://doi.org/10.1098/rsta.1922.0009" TargetMode="External"/><Relationship Id="rId53" Type="http://schemas.openxmlformats.org/officeDocument/2006/relationships/hyperlink" Target="https://doi.org/10.1214/aoms/1177730032" TargetMode="External"/><Relationship Id="rId47" Type="http://schemas.openxmlformats.org/officeDocument/2006/relationships/hyperlink" Target="https://doi.org/10.1214/aoms/1177730497" TargetMode="External"/><Relationship Id="rId31" Type="http://schemas.openxmlformats.org/officeDocument/2006/relationships/hyperlink" Target="https://morrison-lab.github.io/pds/distributions.html#thm-sum-pois" TargetMode="External"/><Relationship Id="rId27" Type="http://schemas.openxmlformats.org/officeDocument/2006/relationships/hyperlink" Target="https://morrison-lab.github.io/pds/expectation.html#thm-lie" TargetMode="External"/><Relationship Id="rId30" Type="http://schemas.openxmlformats.org/officeDocument/2006/relationships/hyperlink" Target="https://morrison-lab.github.io/pds/variance-covariance.html#thm-total-variance" TargetMode="External"/><Relationship Id="rId45" Type="http://schemas.openxmlformats.org/officeDocument/2006/relationships/hyperlink" Target="https://stat210a.berkeley.edu/fall-2024/" TargetMode="External"/><Relationship Id="rId49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2026-10-17T16:32:34Z</dcterms:created>
  <dcterms:modified xsi:type="dcterms:W3CDTF">2026-10-17T16:32:34Z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09:18:12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