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2026-10-16 04:15:16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(2019, sec. 8.2, pp. 369–377)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(2007, sec. 11.2.1, pp. 421–432)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(2007, sec. 11.3.1, pp. 446–447)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(2019, sec. 7.2, pp. 314–322)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(2019, sec. 9.3, pp. 446–455)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11.2, pp. 522–538)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(2007, sec. 12.2, pp. 477–488)</w:t>
      </w:r>
      <w:r>
        <w:t xml:space="preserve"> </w:t>
      </w:r>
      <w:r>
        <w:t xml:space="preserve">covers the one-way layout.</w:t>
      </w:r>
    </w:p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7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9"/>
    <w:bookmarkStart w:id="81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80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81"/>
    <w:bookmarkStart w:id="8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82"/>
    <w:bookmarkStart w:id="8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2026-10-16T11:19:04Z</dcterms:created>
  <dcterms:modified xsi:type="dcterms:W3CDTF">2026-10-16T11:19:04Z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04:15:16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