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1.png" ContentType="image/png"/>
  <Override PartName="/word/media/rId121.png" ContentType="image/png"/>
  <Override PartName="/word/media/rId64.png" ContentType="image/png"/>
  <Override PartName="/word/media/rId70.png" ContentType="image/png"/>
  <Override PartName="/word/media/rId76.png" ContentType="image/png"/>
  <Override PartName="/word/media/rId83.png" ContentType="image/png"/>
  <Override PartName="/word/media/rId95.png" ContentType="image/png"/>
  <Override PartName="/word/media/rId99.png" ContentType="image/png"/>
  <Override PartName="/word/media/rId110.png" ContentType="image/png"/>
  <Override PartName="/word/media/rId114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2026-10-13 21:02:10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),</w:t>
      </w:r>
      <w:r>
        <w:t xml:space="preserve"> </w:t>
      </w:r>
      <w:r>
        <w:t xml:space="preserve">also called the 25th and 75th percentiles.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 box-and-whisker plot)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4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4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80"/>
    <w:bookmarkEnd w:id="81"/>
    <w:bookmarkStart w:id="109" w:name="bivariate-relationships"/>
    <w:p>
      <w:pPr>
        <w:pStyle w:val="Heading2"/>
      </w:pPr>
      <w:r>
        <w:t xml:space="preserve">4 Bivariate relationships</w:t>
      </w:r>
    </w:p>
    <w:bookmarkStart w:id="94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8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a sample estimate of the</w:t>
      </w:r>
      <w:r>
        <w:t xml:space="preserve"> </w:t>
      </w:r>
      <w:hyperlink r:id="rId87">
        <w:r>
          <w:rPr>
            <w:rStyle w:val="Hyperlink"/>
          </w:rPr>
          <w:t xml:space="preserve">population correlation</w:t>
        </w:r>
      </w:hyperlink>
      <w:r>
        <w:t xml:space="preserve">.</w:t>
      </w:r>
      <w:r>
        <w:t xml:space="preserve"> </w:t>
      </w: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8"/>
    <w:bookmarkStart w:id="89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8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0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bookmarkEnd w:id="94"/>
    <w:bookmarkStart w:id="104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8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2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2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3"/>
        </w:tc>
      </w:tr>
    </w:tbl>
    <w:bookmarkEnd w:id="104"/>
    <w:bookmarkStart w:id="108" w:name="two-categorical-variables"/>
    <w:p>
      <w:pPr>
        <w:pStyle w:val="Heading3"/>
      </w:pPr>
      <w:r>
        <w:t xml:space="preserve">4.3 Two categorical variables</w:t>
      </w:r>
    </w:p>
    <w:bookmarkStart w:id="105" w:name="def-contingency-table"/>
    <w:p>
      <w:pPr>
        <w:pStyle w:val="FirstParagraph"/>
      </w:pPr>
      <w:r>
        <w:rPr>
          <w:b/>
          <w:bCs/>
        </w:rPr>
        <w:t xml:space="preserve">Definition 20 (Contingency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5"/>
    <w:bookmarkStart w:id="107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6"/>
        </w:tc>
      </w:tr>
    </w:tbl>
    <w:bookmarkEnd w:id="107"/>
    <w:bookmarkEnd w:id="108"/>
    <w:bookmarkEnd w:id="109"/>
    <w:bookmarkStart w:id="136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8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3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7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lnsbp)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"log(Systolic BP)"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</w:t>
      </w:r>
    </w:p>
    <w:bookmarkEnd w:id="118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5" w:name="sec-rescaling"/>
    <w:p>
      <w:pPr>
        <w:pStyle w:val="Heading3"/>
      </w:pPr>
      <w:r>
        <w:t xml:space="preserve">5.1 Rescaling a variable</w:t>
      </w:r>
    </w:p>
    <w:bookmarkStart w:id="119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6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6"/>
        </w:numPr>
      </w:pPr>
      <w:r>
        <w:t xml:space="preserve">What are the units of your answer to part 2?</w:t>
      </w:r>
    </w:p>
    <w:bookmarkEnd w:id="119"/>
    <w:bookmarkStart w:id="120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7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7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0"/>
    <w:bookmarkStart w:id="124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4.7.6, p. 183)</w:t>
            </w:r>
            <w:r>
              <w:t xml:space="preserve">.</w:t>
            </w:r>
            <w:r>
              <w:t xml:space="preserve"> </w:t>
            </w:r>
            <w:r>
              <w:t xml:space="preserve">Géron (2017, ch. 2)</w:t>
            </w:r>
            <w:r>
              <w:t xml:space="preserve"> </w:t>
            </w:r>
            <w:r>
              <w:t xml:space="preserve">describes the same operation but says it divides by the variance;</w:t>
            </w:r>
            <w:r>
              <w:t xml:space="preserve"> </w:t>
            </w:r>
            <w:r>
              <w:t xml:space="preserve">the standard deviation is used here, as in</w:t>
            </w:r>
            <w:r>
              <w:t xml:space="preserve"> </w:t>
            </w:r>
            <w:r>
              <w:t xml:space="preserve">James et al. (2021)</w:t>
            </w:r>
            <w:r>
              <w:t xml:space="preserve">.</w:t>
            </w:r>
          </w:p>
          <w:p/>
        </w:tc>
      </w:tr>
    </w:tbl>
    <w:bookmarkEnd w:id="124"/>
    <w:bookmarkStart w:id="125" w:name="rem-standardization-units"/>
    <w:p>
      <w:pPr>
        <w:pStyle w:val="BodyText"/>
      </w:pPr>
      <w:r>
        <w:rPr>
          <w:i/>
          <w:iCs/>
        </w:rPr>
        <w:t xml:space="preserve">Remark 4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5"/>
    <w:bookmarkStart w:id="128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Stated for the standardized Caravan variables in</w:t>
            </w:r>
            <w:r>
              <w:t xml:space="preserve"> </w:t>
            </w:r>
            <w:r>
              <w:t xml:space="preserve">James et al. (2021, sec. 4.7.6, p. 183)</w:t>
            </w:r>
            <w:r>
              <w:t xml:space="preserve">;</w:t>
            </w:r>
            <w:r>
              <w:t xml:space="preserve"> </w:t>
            </w:r>
            <w:r>
              <w:t xml:space="preserve">the proof is the elementary calculation.</w:t>
            </w:r>
          </w:p>
          <w:p/>
        </w:tc>
      </w:tr>
    </w:tbl>
    <w:bookmarkEnd w:id="1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9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9"/>
    <w:bookmarkStart w:id="132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Géron (2017, ch. 2)</w:t>
            </w:r>
            <w:r>
              <w:t xml:space="preserve">.</w:t>
            </w:r>
          </w:p>
          <w:p/>
        </w:tc>
      </w:tr>
    </w:tbl>
    <w:bookmarkEnd w:id="132"/>
    <w:bookmarkStart w:id="133" w:name="rem-min-max-outliers"/>
    <w:p>
      <w:pPr>
        <w:pStyle w:val="BodyText"/>
      </w:pPr>
      <w:r>
        <w:rPr>
          <w:i/>
          <w:iCs/>
        </w:rPr>
        <w:t xml:space="preserve">Remark 5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33"/>
    <w:bookmarkStart w:id="134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4"/>
    <w:bookmarkEnd w:id="135"/>
    <w:bookmarkEnd w:id="136"/>
    <w:bookmarkStart w:id="138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09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09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0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0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7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7"/>
        </w:tc>
      </w:tr>
    </w:tbl>
    <w:bookmarkEnd w:id="138"/>
    <w:bookmarkStart w:id="147" w:name="references"/>
    <w:p>
      <w:pPr>
        <w:pStyle w:val="Heading2"/>
      </w:pPr>
      <w:r>
        <w:t xml:space="preserve">References</w:t>
      </w:r>
    </w:p>
    <w:bookmarkStart w:id="146" w:name="refs"/>
    <w:bookmarkStart w:id="139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39"/>
    <w:bookmarkStart w:id="141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40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41"/>
    <w:bookmarkStart w:id="143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2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3"/>
    <w:bookmarkStart w:id="14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5"/>
    <w:bookmarkEnd w:id="146"/>
    <w:bookmarkEnd w:id="1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1" Target="media/rId91.png" /><Relationship Type="http://schemas.openxmlformats.org/officeDocument/2006/relationships/image" Id="rId121" Target="media/rId121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95" Target="media/rId95.png" /><Relationship Type="http://schemas.openxmlformats.org/officeDocument/2006/relationships/image" Id="rId99" Target="media/rId99.png" /><Relationship Type="http://schemas.openxmlformats.org/officeDocument/2006/relationships/image" Id="rId110" Target="media/rId110.png" /><Relationship Type="http://schemas.openxmlformats.org/officeDocument/2006/relationships/image" Id="rId114" Target="media/rId114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7" Target="correlation-regression.qmd#def-population-correlation" TargetMode="External" /><Relationship Type="http://schemas.openxmlformats.org/officeDocument/2006/relationships/hyperlink" Id="rId142" Target="https://doi.org/10.1001/jama.1975.03260080034016" TargetMode="External" /><Relationship Type="http://schemas.openxmlformats.org/officeDocument/2006/relationships/hyperlink" Id="rId140" Target="https://doi.org/10.1007/978-1-0716-1418-1" TargetMode="External" /><Relationship Type="http://schemas.openxmlformats.org/officeDocument/2006/relationships/hyperlink" Id="rId144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7" Target="correlation-regression.qmd#def-population-correlation" TargetMode="External" /><Relationship Type="http://schemas.openxmlformats.org/officeDocument/2006/relationships/hyperlink" Id="rId142" Target="https://doi.org/10.1001/jama.1975.03260080034016" TargetMode="External" /><Relationship Type="http://schemas.openxmlformats.org/officeDocument/2006/relationships/hyperlink" Id="rId140" Target="https://doi.org/10.1007/978-1-0716-1418-1" TargetMode="External" /><Relationship Type="http://schemas.openxmlformats.org/officeDocument/2006/relationships/hyperlink" Id="rId144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2026-10-14T04:08:08Z</dcterms:created>
  <dcterms:modified xsi:type="dcterms:W3CDTF">2026-10-14T04:08:08Z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21:02:10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