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2026-10-16 00:14:28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00:45:07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p>
      <w:pPr>
        <w:pStyle w:val="Compact"/>
        <w:numPr>
          <w:ilvl w:val="0"/>
          <w:numId w:val="1003"/>
        </w:numPr>
      </w:pPr>
      <w:r>
        <w:t xml:space="preserve">Hogg et al. (2019, sec. 8.2, pp. 369–377)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(2007, sec. 11.2.1, pp. 421–432)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(2007, sec. 11.3.1, pp. 446–447)</w:t>
      </w:r>
      <w:r>
        <w:t xml:space="preserve"> </w:t>
      </w:r>
      <w:r>
        <w:t xml:space="preserve">covers normal-theory methods for paired samples.</w:t>
      </w:r>
    </w:p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p>
      <w:pPr>
        <w:pStyle w:val="BodyText"/>
      </w:pPr>
      <w:r>
        <w:t xml:space="preserve">Hogg et al. (2019, sec. 7.2, pp. 314–322)</w:t>
      </w:r>
      <w:r>
        <w:t xml:space="preserve"> </w:t>
      </w:r>
      <w:r>
        <w:t xml:space="preserve">covers confidence intervals for the difference of two means.</w:t>
      </w:r>
    </w:p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(2019, sec. 9.3, pp. 446–455)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11.2, pp. 522–538)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(2007, sec. 12.2, pp. 477–488)</w:t>
      </w:r>
      <w:r>
        <w:t xml:space="preserve"> </w:t>
      </w:r>
      <w:r>
        <w:t xml:space="preserve">covers the one-way layout.</w:t>
      </w:r>
    </w:p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7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9"/>
    <w:bookmarkStart w:id="81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80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81"/>
    <w:bookmarkStart w:id="8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82"/>
    <w:bookmarkStart w:id="8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83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83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2026-10-16T07:53:38Z</dcterms:created>
  <dcterms:modified xsi:type="dcterms:W3CDTF">2026-10-16T07:53:38Z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00:45:07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