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00:40:06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5 (Marginal likelihood)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Given a prior</w:delText>
        </w:r>
      </w:del>
      <w:del w:id="6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and a model</w:delText>
        </w:r>
      </w:del>
      <w:del w:id="9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for the data given</w:delText>
        </w:r>
      </w:del>
      <w:del w:id="12" w:author="PR Preview" w:date="2026-01-01T00:00:00Z">
        <w:r>
          <w:delText xml:space="preserve"> </w:delText>
        </w:r>
      </w:del>
      <m:oMath>
        <m:r>
          <m:t>θ</m:t>
        </m:r>
      </m:oMath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the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rPr>
            <w:b/>
            <w:bCs/>
          </w:rPr>
          <w:delText xml:space="preserve">marginal likelihood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(also called the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rPr>
            <w:b/>
            <w:bCs/>
          </w:rPr>
          <w:delText xml:space="preserve">evidence</w:delText>
        </w:r>
      </w:del>
      <w:del w:id="22" w:author="PR Preview" w:date="2026-01-01T00:00:00Z">
        <w:r>
          <w:delText xml:space="preserve">)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of observed data</w:delText>
        </w:r>
      </w:del>
      <w:del w:id="2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is</w:delText>
        </w:r>
      </w:del>
    </w:p>
    <w:p>
      <w:pPr>
        <w:pStyle w:val="BodyText"/>
      </w:pPr>
      <w:ins w:id="28" w:author="PR Preview" w:date="2026-01-01T00:00:00Z">
        <w:r>
          <w:rPr>
            <w:b/>
            <w:bCs/>
          </w:rPr>
          <w:t xml:space="preserve">Definition 5 (Marginal likelihood (evidence))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Given a prior</w:t>
        </w:r>
      </w:ins>
      <w:ins w:id="31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and a model</w:t>
        </w:r>
      </w:ins>
      <w:ins w:id="34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for the data given</w:t>
        </w:r>
      </w:ins>
      <w:ins w:id="37" w:author="PR Preview" w:date="2026-01-01T00:00:00Z">
        <w:r>
          <w:t xml:space="preserve"> </w:t>
        </w:r>
      </w:ins>
      <m:oMath>
        <m:r>
          <m:t>θ</m:t>
        </m:r>
      </m:oMath>
      <w:ins w:id="38" w:author="PR Preview" w:date="2026-01-01T00:00:00Z">
        <w:r>
          <w:t xml:space="preserve">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the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rPr>
            <w:b/>
            <w:bCs/>
          </w:rPr>
          <w:t xml:space="preserve">marginal likelihood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(also called the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rPr>
            <w:b/>
            <w:bCs/>
          </w:rPr>
          <w:t xml:space="preserve">evidence</w:t>
        </w:r>
      </w:ins>
      <w:ins w:id="47" w:author="PR Preview" w:date="2026-01-01T00:00:00Z">
        <w:r>
          <w:t xml:space="preserve">)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of observed data</w:t>
        </w:r>
      </w:ins>
      <w:ins w:id="5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del w:id="53" w:author="PR Preview" w:date="2026-01-01T00:00:00Z">
        <w:r>
          <w:rPr>
            <w:b/>
            <w:bCs/>
          </w:rPr>
          <w:delText xml:space="preserve">Definition 13 (Flat prior)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A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rPr>
            <w:b/>
            <w:bCs/>
          </w:rPr>
          <w:delText xml:space="preserve">flat prior</w:delText>
        </w:r>
      </w:del>
      <w:del w:id="58" w:author="PR Preview" w:date="2026-01-01T00:00:00Z">
        <w:r>
          <w:delText xml:space="preserve">,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also called a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rPr>
            <w:b/>
            <w:bCs/>
          </w:rPr>
          <w:delText xml:space="preserve">uniform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or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rPr>
            <w:b/>
            <w:bCs/>
          </w:rPr>
          <w:delText xml:space="preserve">noninformative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prior,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is a</w:delText>
        </w:r>
      </w:del>
      <w:del w:id="71" w:author="PR Preview" w:date="2026-01-01T00:00:00Z">
        <w:r>
          <w:delText xml:space="preserve"> </w:delText>
        </w:r>
      </w:del>
      <w:hyperlink w:anchor="def-prior">
        <w:del w:id="72" w:author="PR Preview" w:date="2026-01-01T00:00:00Z">
          <w:r>
            <w:rPr>
              <w:rStyle w:val="Hyperlink"/>
            </w:rPr>
            <w:delText xml:space="preserve">prior</w:delText>
          </w:r>
        </w:del>
      </w:hyperlink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whose density is constant on the parameter space:</w:delText>
        </w:r>
      </w:del>
      <w:del w:id="7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for</w:delText>
        </w:r>
      </w:del>
      <w:del w:id="78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del w:id="79" w:author="PR Preview" w:date="2026-01-01T00:00:00Z">
        <w:r>
          <w:delText xml:space="preserve">.</w:delText>
        </w:r>
      </w:del>
    </w:p>
    <w:p>
      <w:pPr>
        <w:pStyle w:val="BodyText"/>
      </w:pPr>
      <w:ins w:id="80" w:author="PR Preview" w:date="2026-01-01T00:00:00Z">
        <w:r>
          <w:rPr>
            <w:b/>
            <w:bCs/>
          </w:rPr>
          <w:t xml:space="preserve">Definition 13 (Flat prior (uniform prior, noninformative prior))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b/>
            <w:bCs/>
          </w:rPr>
          <w:t xml:space="preserve">flat prior</w:t>
        </w:r>
      </w:ins>
      <w:ins w:id="85" w:author="PR Preview" w:date="2026-01-01T00:00:00Z">
        <w:r>
          <w:t xml:space="preserve">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also called a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rPr>
            <w:b/>
            <w:bCs/>
          </w:rPr>
          <w:t xml:space="preserve">uniform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or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rPr>
            <w:b/>
            <w:bCs/>
          </w:rPr>
          <w:t xml:space="preserve">noninformative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prior,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is a</w:t>
        </w:r>
      </w:ins>
      <w:ins w:id="98" w:author="PR Preview" w:date="2026-01-01T00:00:00Z">
        <w:r>
          <w:t xml:space="preserve"> </w:t>
        </w:r>
      </w:ins>
      <w:hyperlink w:anchor="def-prior">
        <w:ins w:id="99" w:author="PR Preview" w:date="2026-01-01T00:00:00Z">
          <w:r>
            <w:rPr>
              <w:rStyle w:val="Hyperlink"/>
            </w:rPr>
            <w:t xml:space="preserve">prior</w:t>
          </w:r>
        </w:ins>
      </w:hyperlink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whose density is constant on the parameter space:</w:t>
        </w:r>
      </w:ins>
      <w:ins w:id="102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for</w:t>
        </w:r>
      </w:ins>
      <w:ins w:id="105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ins w:id="106" w:author="PR Preview" w:date="2026-01-01T00:00:00Z">
        <w:r>
          <w:t xml:space="preserve">.</w:t>
        </w:r>
      </w:ins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del w:id="107" w:author="PR Preview" w:date="2026-01-01T00:00:00Z">
        <w:r>
          <w:rPr>
            <w:b/>
            <w:bCs/>
          </w:rPr>
          <w:delText xml:space="preserve">Definition 22 (Hierarchical model)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A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rPr>
            <w:b/>
            <w:bCs/>
          </w:rPr>
          <w:delText xml:space="preserve">hierarchical model</w:delText>
        </w:r>
      </w:del>
      <w:del w:id="112" w:author="PR Preview" w:date="2026-01-01T00:00:00Z">
        <w:r>
          <w:delText xml:space="preserve">, also called a</w:delText>
        </w:r>
      </w:del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rPr>
            <w:b/>
            <w:bCs/>
          </w:rPr>
          <w:delText xml:space="preserve">multilevel model</w:delText>
        </w:r>
      </w:del>
      <w:del w:id="115" w:author="PR Preview" w:date="2026-01-01T00:00:00Z">
        <w:r>
          <w:delText xml:space="preserve">,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is a model in which the data depend on group-level parameters,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and the group-level parameters are themselves random,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with a distribution that depends on further unknown parameters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(Dobson and Barnett 2018, chap. 12, p. 281)</w:delText>
        </w:r>
      </w:del>
      <w:del w:id="124" w:author="PR Preview" w:date="2026-01-01T00:00:00Z">
        <w:r>
          <w:delText xml:space="preserve">.</w:delText>
        </w:r>
      </w:del>
    </w:p>
    <w:p>
      <w:pPr>
        <w:pStyle w:val="FirstParagraph"/>
      </w:pPr>
      <w:ins w:id="125" w:author="PR Preview" w:date="2026-01-01T00:00:00Z">
        <w:r>
          <w:rPr>
            <w:b/>
            <w:bCs/>
          </w:rPr>
          <w:t xml:space="preserve">Definition 22 (Hierarchical model (multilevel model))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A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rPr>
            <w:b/>
            <w:bCs/>
          </w:rPr>
          <w:t xml:space="preserve">hierarchical model</w:t>
        </w:r>
      </w:ins>
      <w:ins w:id="130" w:author="PR Preview" w:date="2026-01-01T00:00:00Z">
        <w:r>
          <w:t xml:space="preserve">, also called a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rPr>
            <w:b/>
            <w:bCs/>
          </w:rPr>
          <w:t xml:space="preserve">multilevel model</w:t>
        </w:r>
      </w:ins>
      <w:ins w:id="133" w:author="PR Preview" w:date="2026-01-01T00:00:00Z">
        <w:r>
          <w:t xml:space="preserve">,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is a model in which the data depend on group-level parameters,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and the group-level parameters are themselves random,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with a distribution that depends on further unknown parameters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(Dobson and Barnett 2018, chap. 12, p. 281)</w:t>
        </w:r>
      </w:ins>
      <w:ins w:id="142" w:author="PR Preview" w:date="2026-01-01T00:00:00Z">
        <w:r>
          <w:t xml:space="preserve">.</w:t>
        </w:r>
      </w:ins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2026-10-15T07:54:43Z</dcterms:created>
  <dcterms:modified xsi:type="dcterms:W3CDTF">2026-10-15T07:54:43Z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