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2.png" ContentType="image/png"/>
  <Override PartName="/word/media/rId64.png" ContentType="image/png"/>
  <Override PartName="/word/media/rId70.png" ContentType="image/png"/>
  <Override PartName="/word/media/rId76.png" ContentType="image/png"/>
  <Override PartName="/word/media/rId83.png" ContentType="image/png"/>
  <Override PartName="/word/media/rId96.png" ContentType="image/png"/>
  <Override PartName="/word/media/rId100.png" ContentType="image/png"/>
  <Override PartName="/word/media/rId111.png" ContentType="image/png"/>
  <Override PartName="/word/media/rId115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2026-10-16 18:04:24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(2019, sec. 6.1, pp. 233–244)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(2007, secs. 10.4–10.5, pp. 392–401)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(2019, sec. 6.2, pp. 245–255)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(2007, sec. 10.2.3, pp. 385–388)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10.3, pp. 389–391)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10.6, pp. 402–403)</w:t>
      </w:r>
      <w:r>
        <w:t xml:space="preserve"> </w:t>
      </w:r>
      <w:r>
        <w:t xml:space="preserve">covers boxplots.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(2007, sec. 10.7, pp. 404–406)</w:t>
      </w:r>
      <w:r>
        <w:t xml:space="preserve"> </w:t>
      </w:r>
      <w:r>
        <w:t xml:space="preserve">covers scatterplots.</w:t>
      </w:r>
    </w:p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1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2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bookmarkEnd w:id="122"/>
    <w:bookmarkStart w:id="123" w:name="rem-source-standardiza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(2021, sec. 4.7.6, p. 183)</w:t>
      </w:r>
      <w:r>
        <w:t xml:space="preserve">.</w:t>
      </w:r>
      <w:r>
        <w:t xml:space="preserve"> </w:t>
      </w:r>
      <w:r>
        <w:t xml:space="preserve">Géron (2017, ch. 2)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(2021)</w:t>
      </w:r>
      <w:r>
        <w:t xml:space="preserve">.</w:t>
      </w:r>
    </w:p>
    <w:bookmarkEnd w:id="123"/>
    <w:bookmarkStart w:id="124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4"/>
    <w:bookmarkStart w:id="125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6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(2021, sec. 4.7.6, p. 183)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6"/>
    <w:bookmarkStart w:id="127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7"/>
    <w:bookmarkStart w:id="128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(2017, ch. 2)</w:t>
      </w:r>
      <w:r>
        <w:t xml:space="preserve">.</w:t>
      </w:r>
    </w:p>
    <w:bookmarkEnd w:id="128"/>
    <w:bookmarkStart w:id="129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29"/>
    <w:bookmarkStart w:id="130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0"/>
    <w:bookmarkEnd w:id="131"/>
    <w:bookmarkEnd w:id="132"/>
    <w:bookmarkStart w:id="13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3"/>
        </w:tc>
      </w:tr>
    </w:tbl>
    <w:bookmarkEnd w:id="134"/>
    <w:bookmarkStart w:id="145" w:name="references"/>
    <w:p>
      <w:pPr>
        <w:pStyle w:val="Heading2"/>
      </w:pPr>
      <w:r>
        <w:t xml:space="preserve">References</w:t>
      </w:r>
    </w:p>
    <w:bookmarkStart w:id="144" w:name="refs"/>
    <w:bookmarkStart w:id="135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35"/>
    <w:bookmarkStart w:id="13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6"/>
    <w:bookmarkStart w:id="13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3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38"/>
    <w:bookmarkStart w:id="13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39"/>
    <w:bookmarkStart w:id="141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0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1"/>
    <w:bookmarkStart w:id="143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2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3"/>
    <w:bookmarkEnd w:id="144"/>
    <w:bookmarkEnd w:id="1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2" Target="media/rId92.png" /><Relationship Type="http://schemas.openxmlformats.org/officeDocument/2006/relationships/image" Id="rId64" Target="media/rId64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image" Id="rId83" Target="media/rId83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0" Target="https://doi.org/10.1001/jama.1975.03260080034016" TargetMode="External" /><Relationship Type="http://schemas.openxmlformats.org/officeDocument/2006/relationships/hyperlink" Id="rId137" Target="https://doi.org/10.1007/978-1-0716-1418-1" TargetMode="External" /><Relationship Type="http://schemas.openxmlformats.org/officeDocument/2006/relationships/hyperlink" Id="rId142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0" Target="https://doi.org/10.1001/jama.1975.03260080034016" TargetMode="External" /><Relationship Type="http://schemas.openxmlformats.org/officeDocument/2006/relationships/hyperlink" Id="rId137" Target="https://doi.org/10.1007/978-1-0716-1418-1" TargetMode="External" /><Relationship Type="http://schemas.openxmlformats.org/officeDocument/2006/relationships/hyperlink" Id="rId142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2026-10-17T01:17:11Z</dcterms:created>
  <dcterms:modified xsi:type="dcterms:W3CDTF">2026-10-17T01:17:11Z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18:04:24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