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2026-10-15 12:56:30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12:43:47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del w:id="3" w:author="PR Preview" w:date="2026-01-01T00:00:00Z">
        <w:r>
          <w:rPr>
            <w:i/>
            <w:iCs/>
          </w:rPr>
          <w:delText xml:space="preserve">Remark 3</w:delText>
        </w:r>
      </w:del>
      <w:del w:id="4" w:author="PR Preview" w:date="2026-01-01T00:00:00Z">
        <w:r>
          <w:delText xml:space="preserve"> (Source: Dummy variables). </w:delText>
        </w:r>
      </w:del>
      <w:del w:id="5" w:author="PR Preview" w:date="2026-01-01T00:00:00Z">
        <w:r>
          <w:delText xml:space="preserve">Dobson and Barnett (2018, sec. 2.4)</w:delText>
        </w:r>
      </w:del>
      <w:del w:id="6" w:author="PR Preview" w:date="2026-01-01T00:00:00Z">
        <w:r>
          <w:delText xml:space="preserve">.</w:delText>
        </w:r>
      </w:del>
    </w:p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del w:id="7" w:author="PR Preview" w:date="2026-01-01T00:00:00Z">
        <w:r>
          <w:rPr>
            <w:i/>
            <w:iCs/>
          </w:rPr>
          <w:delText xml:space="preserve">Remark 4</w:delText>
        </w:r>
      </w:del>
      <w:del w:id="8" w:author="PR Preview" w:date="2026-01-01T00:00:00Z">
        <w:r>
          <w:delText xml:space="preserve"> (Other ways to code dummy variables). </w:delText>
        </w:r>
      </w:del>
      <w:del w:id="9" w:author="PR Preview" w:date="2026-01-01T00:00:00Z">
        <w:r>
          <w:delText xml:space="preserve">There are other ways to construct dummy variables.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One is to use the values</w:delText>
        </w:r>
      </w:del>
      <w:del w:id="12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and</w:delText>
        </w:r>
      </w:del>
      <w:del w:id="15" w:author="PR Preview" w:date="2026-01-01T00:00:00Z">
        <w:r>
          <w:delText xml:space="preserve"> </w:delText>
        </w:r>
      </w:del>
      <m:oMath>
        <m:r>
          <m:t>1</m:t>
        </m:r>
      </m:oMath>
      <w:del w:id="16" w:author="PR Preview" w:date="2026-01-01T00:00:00Z">
        <w:r>
          <w:delText xml:space="preserve">: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for example,</w:delText>
        </w:r>
      </w:del>
      <w:del w:id="19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for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“female”</w:delText>
        </w:r>
      </w:del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and</w:delText>
        </w:r>
      </w:del>
      <w:del w:id="26" w:author="PR Preview" w:date="2026-01-01T00:00:00Z">
        <w:r>
          <w:delText xml:space="preserve"> </w:delText>
        </w:r>
      </w:del>
      <m:oMath>
        <m:r>
          <m:t>1</m:t>
        </m:r>
      </m:oMath>
      <w:del w:id="27" w:author="PR Preview" w:date="2026-01-01T00:00:00Z">
        <w:r>
          <w:delText xml:space="preserve"> </w:delText>
        </w:r>
      </w:del>
      <w:del w:id="28" w:author="PR Preview" w:date="2026-01-01T00:00:00Z">
        <w:r>
          <w:delText xml:space="preserve">for</w:delText>
        </w:r>
      </w:del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“male”</w:delText>
        </w:r>
      </w:del>
      <w:del w:id="31" w:author="PR Preview" w:date="2026-01-01T00:00:00Z">
        <w:r>
          <w:delText xml:space="preserve">.</w:delText>
        </w:r>
      </w:del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See</w:delText>
        </w:r>
      </w:del>
      <w:del w:id="34" w:author="PR Preview" w:date="2026-01-01T00:00:00Z">
        <w:r>
          <w:delText xml:space="preserve"> </w:delText>
        </w:r>
      </w:del>
      <w:del w:id="35" w:author="PR Preview" w:date="2026-01-01T00:00:00Z">
        <w:r>
          <w:delText xml:space="preserve">Dobson and Barnett (2018)</w:delText>
        </w:r>
      </w:del>
      <w:del w:id="36" w:author="PR Preview" w:date="2026-01-01T00:00:00Z">
        <w:r>
          <w:delText xml:space="preserve">, section 2.4, for details.</w:delText>
        </w:r>
      </w:del>
    </w:p>
    <w:p>
      <w:pPr>
        <w:pStyle w:val="BodyText"/>
      </w:pPr>
      <w:ins w:id="37" w:author="PR Preview" w:date="2026-01-01T00:00:00Z">
        <w:r>
          <w:rPr>
            <w:i/>
            <w:iCs/>
          </w:rPr>
          <w:t xml:space="preserve">Remark 3</w:t>
        </w:r>
      </w:ins>
      <w:ins w:id="38" w:author="PR Preview" w:date="2026-01-01T00:00:00Z">
        <w:r>
          <w:t xml:space="preserve"> (Other ways to code dummy variables). </w:t>
        </w:r>
      </w:ins>
      <w:ins w:id="39" w:author="PR Preview" w:date="2026-01-01T00:00:00Z">
        <w:r>
          <w:t xml:space="preserve">There are other ways to construct dummy variables.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One is to use the values</w:t>
        </w:r>
      </w:ins>
      <w:ins w:id="42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and</w:t>
        </w:r>
      </w:ins>
      <w:ins w:id="45" w:author="PR Preview" w:date="2026-01-01T00:00:00Z">
        <w:r>
          <w:t xml:space="preserve"> </w:t>
        </w:r>
      </w:ins>
      <m:oMath>
        <m:r>
          <m:t>1</m:t>
        </m:r>
      </m:oMath>
      <w:ins w:id="46" w:author="PR Preview" w:date="2026-01-01T00:00:00Z">
        <w:r>
          <w:t xml:space="preserve">:</w:t>
        </w:r>
      </w:ins>
      <w:ins w:id="47" w:author="PR Preview" w:date="2026-01-01T00:00:00Z">
        <w:r>
          <w:t xml:space="preserve"> </w:t>
        </w:r>
      </w:ins>
      <w:ins w:id="48" w:author="PR Preview" w:date="2026-01-01T00:00:00Z">
        <w:r>
          <w:t xml:space="preserve">for example,</w:t>
        </w:r>
      </w:ins>
      <w:ins w:id="49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for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“female”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and</w:t>
        </w:r>
      </w:ins>
      <w:ins w:id="56" w:author="PR Preview" w:date="2026-01-01T00:00:00Z">
        <w:r>
          <w:t xml:space="preserve"> </w:t>
        </w:r>
      </w:ins>
      <m:oMath>
        <m:r>
          <m:t>1</m:t>
        </m:r>
      </m:oMath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for</w:t>
        </w:r>
      </w:ins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“male”</w:t>
        </w:r>
      </w:ins>
      <w:ins w:id="61" w:author="PR Preview" w:date="2026-01-01T00:00:00Z">
        <w:r>
          <w:t xml:space="preserve">.</w:t>
        </w:r>
      </w:ins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See</w:t>
        </w:r>
      </w:ins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Dobson and Barnett (2018)</w:t>
        </w:r>
      </w:ins>
      <w:ins w:id="66" w:author="PR Preview" w:date="2026-01-01T00:00:00Z">
        <w:r>
          <w:t xml:space="preserve">, section 2.4, for details.</w:t>
        </w:r>
      </w:ins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del w:id="67" w:author="PR Preview" w:date="2026-01-01T00:00:00Z">
        <w:r>
          <w:rPr>
            <w:i/>
            <w:iCs/>
          </w:rPr>
          <w:delText xml:space="preserve">Remark 5</w:delText>
        </w:r>
      </w:del>
      <w:del w:id="68" w:author="PR Preview" w:date="2026-01-01T00:00:00Z">
        <w:r>
          <w:delText xml:space="preserve"> (Source: Indicator variable). </w:delText>
        </w:r>
      </w:del>
      <w:del w:id="69" w:author="PR Preview" w:date="2026-01-01T00:00:00Z">
        <w:r>
          <w:delText xml:space="preserve">Dobson and Barnett (2018, sec. 2.4)</w:delText>
        </w:r>
      </w:del>
      <w:del w:id="70" w:author="PR Preview" w:date="2026-01-01T00:00:00Z">
        <w:r>
          <w:delText xml:space="preserve">.</w:delText>
        </w:r>
      </w:del>
    </w:p>
    <w:p>
      <w:pPr>
        <w:pStyle w:val="BodyText"/>
      </w:pPr>
      <w:del w:id="71" w:author="PR Preview" w:date="2026-01-01T00:00:00Z">
        <w:r>
          <w:rPr>
            <w:b/>
            <w:bCs/>
          </w:rPr>
          <w:delText xml:space="preserve">Example 11 (Indicator variables for chromosomal sex)</w:delText>
        </w:r>
      </w:del>
      <w:del w:id="72" w:author="PR Preview" w:date="2026-01-01T00:00:00Z">
        <w:r>
          <w:delText xml:space="preserve"> </w:delText>
        </w:r>
      </w:del>
      <w:del w:id="73" w:author="PR Preview" w:date="2026-01-01T00:00:00Z">
        <w:r>
          <w:delText xml:space="preserve">In</w:delText>
        </w:r>
      </w:del>
      <w:del w:id="74" w:author="PR Preview" w:date="2026-01-01T00:00:00Z">
        <w:r>
          <w:delText xml:space="preserve"> </w:delText>
        </w:r>
      </w:del>
      <w:hyperlink w:anchor="exm-dummy-sex">
        <w:del w:id="75" w:author="PR Preview" w:date="2026-01-01T00:00:00Z">
          <w:r>
            <w:rPr>
              <w:rStyle w:val="Hyperlink"/>
            </w:rPr>
            <w:delText xml:space="preserve">Example 10</w:delText>
          </w:r>
        </w:del>
      </w:hyperlink>
      <w:del w:id="76" w:author="PR Preview" w:date="2026-01-01T00:00:00Z">
        <w:r>
          <w:delText xml:space="preserve">,</w:delText>
        </w:r>
      </w:del>
      <w:del w:id="77" w:author="PR Preview" w:date="2026-01-01T00:00:00Z">
        <w:r>
          <w:delText xml:space="preserve"> </w:delText>
        </w:r>
      </w:del>
      <m:oMath>
        <m:r>
          <m:t>M</m:t>
        </m:r>
      </m:oMath>
      <w:del w:id="78" w:author="PR Preview" w:date="2026-01-01T00:00:00Z">
        <w:r>
          <w:delText xml:space="preserve"> </w:delText>
        </w:r>
      </w:del>
      <w:del w:id="79" w:author="PR Preview" w:date="2026-01-01T00:00:00Z">
        <w:r>
          <w:delText xml:space="preserve">and</w:delText>
        </w:r>
      </w:del>
      <w:del w:id="80" w:author="PR Preview" w:date="2026-01-01T00:00:00Z">
        <w:r>
          <w:delText xml:space="preserve"> </w:delText>
        </w:r>
      </w:del>
      <m:oMath>
        <m:r>
          <m:t>F</m:t>
        </m:r>
      </m:oMath>
      <w:del w:id="81" w:author="PR Preview" w:date="2026-01-01T00:00:00Z">
        <w:r>
          <w:delText xml:space="preserve"> </w:delText>
        </w:r>
      </w:del>
      <w:del w:id="82" w:author="PR Preview" w:date="2026-01-01T00:00:00Z">
        <w:r>
          <w:delText xml:space="preserve">are indicator variables:</w:delText>
        </w:r>
      </w:del>
      <w:del w:id="83" w:author="PR Preview" w:date="2026-01-01T00:00:00Z">
        <w:r>
          <w:delText xml:space="preserve"> </w:delText>
        </w:r>
      </w:del>
      <w:del w:id="84" w:author="PR Preview" w:date="2026-01-01T00:00:00Z">
        <w:r>
          <w:delText xml:space="preserve">each takes only the values 0 and 1.</w:delText>
        </w:r>
      </w:del>
      <w:del w:id="85" w:author="PR Preview" w:date="2026-01-01T00:00:00Z">
        <w:r>
          <w:delText xml:space="preserve"> </w:delText>
        </w:r>
      </w:del>
      <w:del w:id="86" w:author="PR Preview" w:date="2026-01-01T00:00:00Z">
        <w:r>
          <w:delText xml:space="preserve">A dummy variable that uses the values</w:delText>
        </w:r>
      </w:del>
      <w:del w:id="87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88" w:author="PR Preview" w:date="2026-01-01T00:00:00Z">
        <w:r>
          <w:delText xml:space="preserve"> </w:delText>
        </w:r>
      </w:del>
      <w:del w:id="89" w:author="PR Preview" w:date="2026-01-01T00:00:00Z">
        <w:r>
          <w:delText xml:space="preserve">and</w:delText>
        </w:r>
      </w:del>
      <w:del w:id="90" w:author="PR Preview" w:date="2026-01-01T00:00:00Z">
        <w:r>
          <w:delText xml:space="preserve"> </w:delText>
        </w:r>
      </w:del>
      <m:oMath>
        <m:r>
          <m:t>1</m:t>
        </m:r>
      </m:oMath>
      <w:del w:id="91" w:author="PR Preview" w:date="2026-01-01T00:00:00Z">
        <w:r>
          <w:delText xml:space="preserve"> </w:delText>
        </w:r>
      </w:del>
      <w:del w:id="92" w:author="PR Preview" w:date="2026-01-01T00:00:00Z">
        <w:r>
          <w:delText xml:space="preserve">(</w:delText>
        </w:r>
      </w:del>
      <w:hyperlink w:anchor="rem-dummy-other-codings">
        <w:del w:id="93" w:author="PR Preview" w:date="2026-01-01T00:00:00Z">
          <w:r>
            <w:rPr>
              <w:rStyle w:val="Hyperlink"/>
            </w:rPr>
            <w:delText xml:space="preserve">Remark 4</w:delText>
          </w:r>
        </w:del>
      </w:hyperlink>
      <w:del w:id="94" w:author="PR Preview" w:date="2026-01-01T00:00:00Z">
        <w:r>
          <w:delText xml:space="preserve">) is not an indicator variable.</w:delText>
        </w:r>
      </w:del>
    </w:p>
    <w:p>
      <w:pPr>
        <w:pStyle w:val="BodyText"/>
      </w:pPr>
      <w:ins w:id="95" w:author="PR Preview" w:date="2026-01-01T00:00:00Z">
        <w:r>
          <w:rPr>
            <w:b/>
            <w:bCs/>
          </w:rPr>
          <w:t xml:space="preserve">Example 11 (Indicator variables for chromosomal sex)</w:t>
        </w:r>
      </w:ins>
      <w:ins w:id="96" w:author="PR Preview" w:date="2026-01-01T00:00:00Z">
        <w:r>
          <w:t xml:space="preserve"> </w:t>
        </w:r>
      </w:ins>
      <w:ins w:id="97" w:author="PR Preview" w:date="2026-01-01T00:00:00Z">
        <w:r>
          <w:t xml:space="preserve">In</w:t>
        </w:r>
      </w:ins>
      <w:ins w:id="98" w:author="PR Preview" w:date="2026-01-01T00:00:00Z">
        <w:r>
          <w:t xml:space="preserve"> </w:t>
        </w:r>
      </w:ins>
      <w:hyperlink w:anchor="exm-dummy-sex">
        <w:ins w:id="99" w:author="PR Preview" w:date="2026-01-01T00:00:00Z">
          <w:r>
            <w:rPr>
              <w:rStyle w:val="Hyperlink"/>
            </w:rPr>
            <w:t xml:space="preserve">Example 10</w:t>
          </w:r>
        </w:ins>
      </w:hyperlink>
      <w:ins w:id="100" w:author="PR Preview" w:date="2026-01-01T00:00:00Z">
        <w:r>
          <w:t xml:space="preserve">,</w:t>
        </w:r>
      </w:ins>
      <w:ins w:id="101" w:author="PR Preview" w:date="2026-01-01T00:00:00Z">
        <w:r>
          <w:t xml:space="preserve"> </w:t>
        </w:r>
      </w:ins>
      <m:oMath>
        <m:r>
          <m:t>M</m:t>
        </m:r>
      </m:oMath>
      <w:ins w:id="102" w:author="PR Preview" w:date="2026-01-01T00:00:00Z">
        <w:r>
          <w:t xml:space="preserve"> </w:t>
        </w:r>
      </w:ins>
      <w:ins w:id="103" w:author="PR Preview" w:date="2026-01-01T00:00:00Z">
        <w:r>
          <w:t xml:space="preserve">and</w:t>
        </w:r>
      </w:ins>
      <w:ins w:id="104" w:author="PR Preview" w:date="2026-01-01T00:00:00Z">
        <w:r>
          <w:t xml:space="preserve"> </w:t>
        </w:r>
      </w:ins>
      <m:oMath>
        <m:r>
          <m:t>F</m:t>
        </m:r>
      </m:oMath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are indicator variables:</w:t>
        </w:r>
      </w:ins>
      <w:ins w:id="107" w:author="PR Preview" w:date="2026-01-01T00:00:00Z">
        <w:r>
          <w:t xml:space="preserve"> </w:t>
        </w:r>
      </w:ins>
      <w:ins w:id="108" w:author="PR Preview" w:date="2026-01-01T00:00:00Z">
        <w:r>
          <w:t xml:space="preserve">each takes only the values 0 and 1.</w:t>
        </w:r>
      </w:ins>
      <w:ins w:id="109" w:author="PR Preview" w:date="2026-01-01T00:00:00Z">
        <w:r>
          <w:t xml:space="preserve"> </w:t>
        </w:r>
      </w:ins>
      <w:ins w:id="110" w:author="PR Preview" w:date="2026-01-01T00:00:00Z">
        <w:r>
          <w:t xml:space="preserve">A dummy variable that uses the values</w:t>
        </w:r>
      </w:ins>
      <w:ins w:id="111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112" w:author="PR Preview" w:date="2026-01-01T00:00:00Z">
        <w:r>
          <w:t xml:space="preserve"> </w:t>
        </w:r>
      </w:ins>
      <w:ins w:id="113" w:author="PR Preview" w:date="2026-01-01T00:00:00Z">
        <w:r>
          <w:t xml:space="preserve">and</w:t>
        </w:r>
      </w:ins>
      <w:ins w:id="114" w:author="PR Preview" w:date="2026-01-01T00:00:00Z">
        <w:r>
          <w:t xml:space="preserve"> </w:t>
        </w:r>
      </w:ins>
      <m:oMath>
        <m:r>
          <m:t>1</m:t>
        </m:r>
      </m:oMath>
      <w:ins w:id="115" w:author="PR Preview" w:date="2026-01-01T00:00:00Z">
        <w:r>
          <w:t xml:space="preserve"> </w:t>
        </w:r>
      </w:ins>
      <w:ins w:id="116" w:author="PR Preview" w:date="2026-01-01T00:00:00Z">
        <w:r>
          <w:t xml:space="preserve">(</w:t>
        </w:r>
      </w:ins>
      <w:hyperlink w:anchor="rem-dummy-other-codings">
        <w:ins w:id="117" w:author="PR Preview" w:date="2026-01-01T00:00:00Z">
          <w:r>
            <w:rPr>
              <w:rStyle w:val="Hyperlink"/>
            </w:rPr>
            <w:t xml:space="preserve">Remark 3</w:t>
          </w:r>
        </w:ins>
      </w:hyperlink>
      <w:ins w:id="118" w:author="PR Preview" w:date="2026-01-01T00:00:00Z">
        <w:r>
          <w:t xml:space="preserve">) is not an indicator variable.</w:t>
        </w:r>
      </w:ins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del w:id="119" w:author="PR Preview" w:date="2026-01-01T00:00:00Z">
        <w:r>
          <w:rPr>
            <w:i/>
            <w:iCs/>
          </w:rPr>
          <w:delText xml:space="preserve">Remark 6</w:delText>
        </w:r>
      </w:del>
      <w:del w:id="120" w:author="PR Preview" w:date="2026-01-01T00:00:00Z">
        <w:r>
          <w:delText xml:space="preserve"> (Source: Reference level). </w:delText>
        </w:r>
      </w:del>
      <w:del w:id="121" w:author="PR Preview" w:date="2026-01-01T00:00:00Z">
        <w:r>
          <w:delText xml:space="preserve">Dobson and Barnett (2018, sec. 2.4)</w:delText>
        </w:r>
      </w:del>
      <w:del w:id="122" w:author="PR Preview" w:date="2026-01-01T00:00:00Z">
        <w:r>
          <w:delText xml:space="preserve">, who call this the corner point parameterization.</w:delText>
        </w:r>
      </w:del>
    </w:p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del w:id="123" w:author="PR Preview" w:date="2026-01-01T00:00:00Z">
        <w:r>
          <w:rPr>
            <w:i/>
            <w:iCs/>
          </w:rPr>
          <w:delText xml:space="preserve">Remark 7</w:delText>
        </w:r>
      </w:del>
      <w:del w:id="124" w:author="PR Preview" w:date="2026-01-01T00:00:00Z">
        <w:r>
          <w:delText xml:space="preserve"> (Any category can be the reference level). </w:delText>
        </w:r>
      </w:del>
      <w:del w:id="125" w:author="PR Preview" w:date="2026-01-01T00:00:00Z">
        <w:r>
          <w:delText xml:space="preserve">The choice of reference level changes how we code the categories.</w:delText>
        </w:r>
      </w:del>
      <w:del w:id="126" w:author="PR Preview" w:date="2026-01-01T00:00:00Z">
        <w:r>
          <w:delText xml:space="preserve"> </w:delText>
        </w:r>
      </w:del>
      <w:del w:id="127" w:author="PR Preview" w:date="2026-01-01T00:00:00Z">
        <w:r>
          <w:delText xml:space="preserve">It does not change what the data say.</w:delText>
        </w:r>
      </w:del>
      <w:del w:id="128" w:author="PR Preview" w:date="2026-01-01T00:00:00Z">
        <w:r>
          <w:delText xml:space="preserve"> </w:delText>
        </w:r>
      </w:del>
      <w:del w:id="129" w:author="PR Preview" w:date="2026-01-01T00:00:00Z">
        <w:r>
          <w:delText xml:space="preserve">For example, in</w:delText>
        </w:r>
      </w:del>
      <w:del w:id="130" w:author="PR Preview" w:date="2026-01-01T00:00:00Z">
        <w:r>
          <w:delText xml:space="preserve"> </w:delText>
        </w:r>
      </w:del>
      <w:hyperlink w:anchor="exm-reference-level-sex">
        <w:del w:id="131" w:author="PR Preview" w:date="2026-01-01T00:00:00Z">
          <w:r>
            <w:rPr>
              <w:rStyle w:val="Hyperlink"/>
            </w:rPr>
            <w:delText xml:space="preserve">Example 12</w:delText>
          </w:r>
        </w:del>
      </w:hyperlink>
      <w:del w:id="132" w:author="PR Preview" w:date="2026-01-01T00:00:00Z">
        <w:r>
          <w:delText xml:space="preserve">,</w:delText>
        </w:r>
      </w:del>
      <w:del w:id="133" w:author="PR Preview" w:date="2026-01-01T00:00:00Z">
        <w:r>
          <w:delText xml:space="preserve"> </w:delText>
        </w:r>
      </w:del>
      <w:del w:id="134" w:author="PR Preview" w:date="2026-01-01T00:00:00Z">
        <w:r>
          <w:delText xml:space="preserve">we could instead use</w:delText>
        </w:r>
      </w:del>
      <w:del w:id="135" w:author="PR Preview" w:date="2026-01-01T00:00:00Z">
        <w:r>
          <w:delText xml:space="preserve"> </w:delText>
        </w:r>
      </w:del>
      <w:del w:id="136" w:author="PR Preview" w:date="2026-01-01T00:00:00Z">
        <w:r>
          <w:delText xml:space="preserve">“male”</w:delText>
        </w:r>
      </w:del>
      <w:del w:id="137" w:author="PR Preview" w:date="2026-01-01T00:00:00Z">
        <w:r>
          <w:delText xml:space="preserve"> </w:delText>
        </w:r>
      </w:del>
      <w:del w:id="138" w:author="PR Preview" w:date="2026-01-01T00:00:00Z">
        <w:r>
          <w:delText xml:space="preserve">as the reference level</w:delText>
        </w:r>
      </w:del>
      <w:del w:id="139" w:author="PR Preview" w:date="2026-01-01T00:00:00Z">
        <w:r>
          <w:delText xml:space="preserve"> </w:delText>
        </w:r>
      </w:del>
      <w:del w:id="140" w:author="PR Preview" w:date="2026-01-01T00:00:00Z">
        <w:r>
          <w:delText xml:space="preserve">and the indicator variable</w:delText>
        </w:r>
      </w:del>
      <w:del w:id="141" w:author="PR Preview" w:date="2026-01-01T00:00:00Z">
        <w:r>
          <w:delText xml:space="preserve"> </w:delText>
        </w:r>
      </w:del>
      <m:oMath>
        <m:r>
          <m:t>F</m:t>
        </m:r>
      </m:oMath>
      <w:del w:id="142" w:author="PR Preview" w:date="2026-01-01T00:00:00Z">
        <w:r>
          <w:delText xml:space="preserve"> </w:delText>
        </w:r>
      </w:del>
      <w:del w:id="143" w:author="PR Preview" w:date="2026-01-01T00:00:00Z">
        <w:r>
          <w:delText xml:space="preserve">for</w:delText>
        </w:r>
      </w:del>
      <w:del w:id="144" w:author="PR Preview" w:date="2026-01-01T00:00:00Z">
        <w:r>
          <w:delText xml:space="preserve"> </w:delText>
        </w:r>
      </w:del>
      <w:del w:id="145" w:author="PR Preview" w:date="2026-01-01T00:00:00Z">
        <w:r>
          <w:delText xml:space="preserve">“female”</w:delText>
        </w:r>
      </w:del>
      <w:del w:id="146" w:author="PR Preview" w:date="2026-01-01T00:00:00Z">
        <w:r>
          <w:delText xml:space="preserve">.</w:delText>
        </w:r>
      </w:del>
      <w:del w:id="147" w:author="PR Preview" w:date="2026-01-01T00:00:00Z">
        <w:r>
          <w:delText xml:space="preserve"> </w:delText>
        </w:r>
      </w:del>
      <w:del w:id="148" w:author="PR Preview" w:date="2026-01-01T00:00:00Z">
        <w:r>
          <w:delText xml:space="preserve">Both choices describe the same two groups.</w:delText>
        </w:r>
      </w:del>
    </w:p>
    <w:p>
      <w:pPr>
        <w:pStyle w:val="BodyText"/>
      </w:pPr>
      <w:ins w:id="149" w:author="PR Preview" w:date="2026-01-01T00:00:00Z">
        <w:r>
          <w:rPr>
            <w:i/>
            <w:iCs/>
          </w:rPr>
          <w:t xml:space="preserve">Remark 4</w:t>
        </w:r>
      </w:ins>
      <w:ins w:id="150" w:author="PR Preview" w:date="2026-01-01T00:00:00Z">
        <w:r>
          <w:t xml:space="preserve"> (Any category can be the reference level). </w:t>
        </w:r>
      </w:ins>
      <w:ins w:id="151" w:author="PR Preview" w:date="2026-01-01T00:00:00Z">
        <w:r>
          <w:t xml:space="preserve">The choice of reference level changes how we code the categories.</w:t>
        </w:r>
      </w:ins>
      <w:ins w:id="152" w:author="PR Preview" w:date="2026-01-01T00:00:00Z">
        <w:r>
          <w:t xml:space="preserve"> </w:t>
        </w:r>
      </w:ins>
      <w:ins w:id="153" w:author="PR Preview" w:date="2026-01-01T00:00:00Z">
        <w:r>
          <w:t xml:space="preserve">It does not change what the data say.</w:t>
        </w:r>
      </w:ins>
      <w:ins w:id="154" w:author="PR Preview" w:date="2026-01-01T00:00:00Z">
        <w:r>
          <w:t xml:space="preserve"> </w:t>
        </w:r>
      </w:ins>
      <w:ins w:id="155" w:author="PR Preview" w:date="2026-01-01T00:00:00Z">
        <w:r>
          <w:t xml:space="preserve">For example, in</w:t>
        </w:r>
      </w:ins>
      <w:ins w:id="156" w:author="PR Preview" w:date="2026-01-01T00:00:00Z">
        <w:r>
          <w:t xml:space="preserve"> </w:t>
        </w:r>
      </w:ins>
      <w:hyperlink w:anchor="exm-reference-level-sex">
        <w:ins w:id="157" w:author="PR Preview" w:date="2026-01-01T00:00:00Z">
          <w:r>
            <w:rPr>
              <w:rStyle w:val="Hyperlink"/>
            </w:rPr>
            <w:t xml:space="preserve">Example 12</w:t>
          </w:r>
        </w:ins>
      </w:hyperlink>
      <w:ins w:id="158" w:author="PR Preview" w:date="2026-01-01T00:00:00Z">
        <w:r>
          <w:t xml:space="preserve">,</w:t>
        </w:r>
      </w:ins>
      <w:ins w:id="159" w:author="PR Preview" w:date="2026-01-01T00:00:00Z">
        <w:r>
          <w:t xml:space="preserve"> </w:t>
        </w:r>
      </w:ins>
      <w:ins w:id="160" w:author="PR Preview" w:date="2026-01-01T00:00:00Z">
        <w:r>
          <w:t xml:space="preserve">we could instead use</w:t>
        </w:r>
      </w:ins>
      <w:ins w:id="161" w:author="PR Preview" w:date="2026-01-01T00:00:00Z">
        <w:r>
          <w:t xml:space="preserve"> </w:t>
        </w:r>
      </w:ins>
      <w:ins w:id="162" w:author="PR Preview" w:date="2026-01-01T00:00:00Z">
        <w:r>
          <w:t xml:space="preserve">“male”</w:t>
        </w:r>
      </w:ins>
      <w:ins w:id="163" w:author="PR Preview" w:date="2026-01-01T00:00:00Z">
        <w:r>
          <w:t xml:space="preserve"> </w:t>
        </w:r>
      </w:ins>
      <w:ins w:id="164" w:author="PR Preview" w:date="2026-01-01T00:00:00Z">
        <w:r>
          <w:t xml:space="preserve">as the reference level</w:t>
        </w:r>
      </w:ins>
      <w:ins w:id="165" w:author="PR Preview" w:date="2026-01-01T00:00:00Z">
        <w:r>
          <w:t xml:space="preserve"> </w:t>
        </w:r>
      </w:ins>
      <w:ins w:id="166" w:author="PR Preview" w:date="2026-01-01T00:00:00Z">
        <w:r>
          <w:t xml:space="preserve">and the indicator variable</w:t>
        </w:r>
      </w:ins>
      <w:ins w:id="167" w:author="PR Preview" w:date="2026-01-01T00:00:00Z">
        <w:r>
          <w:t xml:space="preserve"> </w:t>
        </w:r>
      </w:ins>
      <m:oMath>
        <m:r>
          <m:t>F</m:t>
        </m:r>
      </m:oMath>
      <w:ins w:id="168" w:author="PR Preview" w:date="2026-01-01T00:00:00Z">
        <w:r>
          <w:t xml:space="preserve"> </w:t>
        </w:r>
      </w:ins>
      <w:ins w:id="169" w:author="PR Preview" w:date="2026-01-01T00:00:00Z">
        <w:r>
          <w:t xml:space="preserve">for</w:t>
        </w:r>
      </w:ins>
      <w:ins w:id="170" w:author="PR Preview" w:date="2026-01-01T00:00:00Z">
        <w:r>
          <w:t xml:space="preserve"> </w:t>
        </w:r>
      </w:ins>
      <w:ins w:id="171" w:author="PR Preview" w:date="2026-01-01T00:00:00Z">
        <w:r>
          <w:t xml:space="preserve">“female”</w:t>
        </w:r>
      </w:ins>
      <w:ins w:id="172" w:author="PR Preview" w:date="2026-01-01T00:00:00Z">
        <w:r>
          <w:t xml:space="preserve">.</w:t>
        </w:r>
      </w:ins>
      <w:ins w:id="173" w:author="PR Preview" w:date="2026-01-01T00:00:00Z">
        <w:r>
          <w:t xml:space="preserve"> </w:t>
        </w:r>
      </w:ins>
      <w:ins w:id="174" w:author="PR Preview" w:date="2026-01-01T00:00:00Z">
        <w:r>
          <w:t xml:space="preserve">Both choices describe the same two groups.</w:t>
        </w:r>
      </w:ins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image" Target="media/rId32.png"/><Relationship Id="rId48" Type="http://schemas.openxmlformats.org/officeDocument/2006/relationships/image" Target="media/rId48.png"/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2026-10-15T20:01:26Z</dcterms:created>
  <dcterms:modified xsi:type="dcterms:W3CDTF">2026-10-15T20:01:26Z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