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2.png" ContentType="image/png"/>
  <Override PartName="/word/media/rId122.png" ContentType="image/png"/>
  <Override PartName="/word/media/rId64.png" ContentType="image/png"/>
  <Override PartName="/word/media/rId70.png" ContentType="image/png"/>
  <Override PartName="/word/media/rId76.png" ContentType="image/png"/>
  <Override PartName="/word/media/rId83.png" ContentType="image/png"/>
  <Override PartName="/word/media/rId96.png" ContentType="image/png"/>
  <Override PartName="/word/media/rId100.png" ContentType="image/png"/>
  <Override PartName="/word/media/rId111.png" ContentType="image/png"/>
  <Override PartName="/word/media/rId115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2026-10-15 08:11:22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4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4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7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lnsbp)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"log(Systolic BP)"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6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6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6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7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7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5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4.7.6, p. 183)</w:t>
            </w:r>
            <w:r>
              <w:t xml:space="preserve">.</w:t>
            </w:r>
            <w:r>
              <w:t xml:space="preserve"> </w:t>
            </w:r>
            <w:r>
              <w:t xml:space="preserve">Géron (2017, ch. 2)</w:t>
            </w:r>
            <w:r>
              <w:t xml:space="preserve"> </w:t>
            </w:r>
            <w:r>
              <w:t xml:space="preserve">describes the same operation but says it divides by the variance;</w:t>
            </w:r>
            <w:r>
              <w:t xml:space="preserve"> </w:t>
            </w:r>
            <w:r>
              <w:t xml:space="preserve">the standard deviation is used here, as in</w:t>
            </w:r>
            <w:r>
              <w:t xml:space="preserve"> </w:t>
            </w:r>
            <w:r>
              <w:t xml:space="preserve">James et al. (2021)</w:t>
            </w:r>
            <w:r>
              <w:t xml:space="preserve">.</w:t>
            </w:r>
          </w:p>
          <w:p/>
        </w:tc>
      </w:tr>
    </w:tbl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5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9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Stated for the standardized Caravan variables in</w:t>
            </w:r>
            <w:r>
              <w:t xml:space="preserve"> </w:t>
            </w:r>
            <w:r>
              <w:t xml:space="preserve">James et al. (2021, sec. 4.7.6, p. 183)</w:t>
            </w:r>
            <w:r>
              <w:t xml:space="preserve">;</w:t>
            </w:r>
            <w:r>
              <w:t xml:space="preserve"> </w:t>
            </w:r>
            <w:r>
              <w:t xml:space="preserve">the proof is the elementary calculation.</w:t>
            </w:r>
          </w:p>
          <w:p/>
        </w:tc>
      </w:tr>
    </w:tbl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0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0"/>
    <w:bookmarkStart w:id="133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Géron (2017, ch. 2)</w:t>
            </w:r>
            <w:r>
              <w:t xml:space="preserve">.</w:t>
            </w:r>
          </w:p>
          <w:p/>
        </w:tc>
      </w:tr>
    </w:tbl>
    <w:bookmarkEnd w:id="133"/>
    <w:bookmarkStart w:id="134" w:name="rem-min-max-outliers"/>
    <w:p>
      <w:pPr>
        <w:pStyle w:val="BodyText"/>
      </w:pPr>
      <w:r>
        <w:rPr>
          <w:i/>
          <w:iCs/>
        </w:rPr>
        <w:t xml:space="preserve">Remark 6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34"/>
    <w:bookmarkStart w:id="135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5"/>
    <w:bookmarkEnd w:id="136"/>
    <w:bookmarkEnd w:id="137"/>
    <w:bookmarkStart w:id="139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09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09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0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0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8"/>
        </w:tc>
      </w:tr>
    </w:tbl>
    <w:bookmarkEnd w:id="139"/>
    <w:bookmarkStart w:id="148" w:name="references"/>
    <w:p>
      <w:pPr>
        <w:pStyle w:val="Heading2"/>
      </w:pPr>
      <w:r>
        <w:t xml:space="preserve">References</w:t>
      </w:r>
    </w:p>
    <w:bookmarkStart w:id="147" w:name="refs"/>
    <w:bookmarkStart w:id="140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40"/>
    <w:bookmarkStart w:id="142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41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3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4"/>
    <w:bookmarkStart w:id="14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6"/>
    <w:bookmarkEnd w:id="147"/>
    <w:bookmarkEnd w:id="1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2" Target="media/rId92.png" /><Relationship Type="http://schemas.openxmlformats.org/officeDocument/2006/relationships/image" Id="rId122" Target="media/rId122.png" /><Relationship Type="http://schemas.openxmlformats.org/officeDocument/2006/relationships/image" Id="rId64" Target="media/rId64.png" /><Relationship Type="http://schemas.openxmlformats.org/officeDocument/2006/relationships/image" Id="rId70" Target="media/rId70.png" /><Relationship Type="http://schemas.openxmlformats.org/officeDocument/2006/relationships/image" Id="rId76" Target="media/rId76.png" /><Relationship Type="http://schemas.openxmlformats.org/officeDocument/2006/relationships/image" Id="rId83" Target="media/rId83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41" Target="https://doi.org/10.1007/978-1-0716-1418-1" TargetMode="External" /><Relationship Type="http://schemas.openxmlformats.org/officeDocument/2006/relationships/hyperlink" Id="rId145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41" Target="https://doi.org/10.1007/978-1-0716-1418-1" TargetMode="External" /><Relationship Type="http://schemas.openxmlformats.org/officeDocument/2006/relationships/hyperlink" Id="rId145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2026-10-15T15:22:42Z</dcterms:created>
  <dcterms:modified xsi:type="dcterms:W3CDTF">2026-10-15T15:22:42Z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08:11:22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