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2026-10-16 04:40:51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(2019, sec. 7.3, pp. 323–328)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(2019, sec. 8.4, pp. 385–391)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(2019, sec. 9.1, pp. 425–434)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(2019, sec. 9.2, pp. 435–445)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(2007, sec. 13.3, pp. 516–519)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(2007, sec. 13.4, pp. 520–522)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(2007, sec. 9.5, pp. 341–346)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(2007, sec. 13.2, pp. 514–515)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(2007, sec. 13.6, pp. 526–529)</w:t>
      </w:r>
      <w:r>
        <w:t xml:space="preserve"> </w:t>
      </w:r>
      <w:r>
        <w:t xml:space="preserve">covers odds ratios.</w:t>
      </w:r>
    </w:p>
    <w:bookmarkEnd w:id="30"/>
    <w:bookmarkEnd w:id="31"/>
    <w:bookmarkStart w:id="37" w:name="references"/>
    <w:p>
      <w:pPr>
        <w:pStyle w:val="Heading2"/>
      </w:pPr>
      <w:r>
        <w:t xml:space="preserve">References</w:t>
      </w:r>
    </w:p>
    <w:bookmarkStart w:id="36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3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33"/>
    <w:bookmarkStart w:id="35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4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2026-10-16T11:48:06Z</dcterms:created>
  <dcterms:modified xsi:type="dcterms:W3CDTF">2026-10-16T11:48:06Z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04:40:51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