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del w:id="1" w:author="PR Preview" w:date="2026-01-01T00:00:00Z">
        <w:r>
          <w:delText xml:space="preserve">Last modified: 2026-10-16 03:46:21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03:46:24 (PDT)</w:t>
        </w:r>
      </w:ins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(2005)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6"/>
    <w:bookmarkStart w:id="17" w:name="exm-exchangeable"/>
    <w:p>
      <w:pPr>
        <w:pStyle w:val="FirstParagraph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7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6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lem-top-k-count"/>
    <w:p>
      <w:pPr>
        <w:pStyle w:val="BodyText"/>
      </w:pPr>
      <w:r>
        <w:rPr>
          <w:b/>
          <w:bCs/>
        </w:rPr>
        <w:t xml:space="preserve">Lemma 1 (At most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values have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or fewer values at least as large)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</w:t>
      </w:r>
      <w:r>
        <w:t xml:space="preserve"> </w:t>
      </w:r>
      <w:r>
        <w:t xml:space="preserve">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Then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top-k-cou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.</w:t>
      </w:r>
    </w:p>
    <w:bookmarkEnd w:id="30"/>
    <w:bookmarkStart w:id="31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1"/>
    <w:bookmarkStart w:id="32" w:name="lem-relabeling-count"/>
    <w:p>
      <w:pPr>
        <w:pStyle w:val="BodyText"/>
      </w:pPr>
      <w:r>
        <w:rPr>
          <w:b/>
          <w:bCs/>
        </w:rPr>
        <w:t xml:space="preserve">Lemma 2 (Relabeling the data permutes the relabelings)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statistic,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data,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permutations of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its entries relabeled by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π</m:t>
            </m:r>
            <m:r>
              <m:rPr>
                <m:sty m:val="p"/>
              </m:rPr>
              <m:t>∈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1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π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σ</m:t>
                    </m:r>
                  </m:sub>
                </m:sSub>
                <m:r>
                  <m:rPr>
                    <m:sty m:val="p"/>
                  </m:rPr>
                  <m:t>)</m:t>
                </m:r>
              </m:sub>
            </m:sSub>
          </m:e>
        </m:nary>
      </m:oMath>
      <w:r>
        <w:t xml:space="preserve"> </w:t>
      </w:r>
      <w:r>
        <w:t xml:space="preserve">be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relabeling the data by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turns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ι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elabeling-coun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34" w:name="thm-permutation-p-valid"/>
    <w:p>
      <w:pPr>
        <w:pStyle w:val="BodyText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lem-relabeling-count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and</w:t>
      </w:r>
      <w:r>
        <w:t xml:space="preserve"> </w:t>
      </w:r>
      <w:hyperlink w:anchor="lem-top-k-count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35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5"/>
    <w:p>
      <w:pPr>
        <w:pStyle w:val="Compact"/>
        <w:numPr>
          <w:ilvl w:val="0"/>
          <w:numId w:val="1001"/>
        </w:numPr>
      </w:pPr>
      <w:r>
        <w:t xml:space="preserve">Hogg et al. (2019, sec. 8.5, pp. 392–402)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1"/>
        </w:numPr>
      </w:pPr>
      <w:r>
        <w:t xml:space="preserve">Rice (2007, sec. 11.2.3, pp. 435–442)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1"/>
        </w:numPr>
      </w:pPr>
      <w:r>
        <w:t xml:space="preserve">Rice (2007, sec. 11.4.6, p. 456)</w:t>
      </w:r>
      <w:r>
        <w:t xml:space="preserve"> </w:t>
      </w:r>
      <w:r>
        <w:t xml:space="preserve">covers randomization.</w:t>
      </w:r>
    </w:p>
    <w:bookmarkEnd w:id="36"/>
    <w:bookmarkEnd w:id="37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8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43" w:name="exm-monte-carlo-p-value"/>
    <w:p>
      <w:pPr>
        <w:pStyle w:val="FirstParagraph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2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3"/>
    <w:bookmarkStart w:id="44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4"/>
    <w:bookmarkStart w:id="45" w:name="rem-source-monte-carlo-p-valid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The Monte Carlo permutation p-value is valid). </w:t>
      </w:r>
      <w:r>
        <w:t xml:space="preserve">Phipson and Smyth</w:t>
      </w:r>
      <w:r>
        <w:t xml:space="preserve"> </w:t>
      </w:r>
      <w:r>
        <w:t xml:space="preserve">(2010)</w:t>
      </w:r>
      <w:r>
        <w:t xml:space="preserve"> </w:t>
      </w:r>
      <w:r>
        <w:t xml:space="preserve">show that the Monte Carlo p-value with the added 1 is valid for random permutations.</w:t>
      </w:r>
      <w:r>
        <w:t xml:space="preserve"> </w:t>
      </w:r>
      <w:r>
        <w:t xml:space="preserve">The proof is omitted here.</w:t>
      </w:r>
    </w:p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3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t xml:space="preserve">Hogg et al. (2019, sec. 7.7, pp. 353–360)</w:t>
      </w:r>
      <w:r>
        <w:t xml:space="preserve"> </w:t>
      </w:r>
      <w:r>
        <w:t xml:space="preserve">covers resampling methods.</w:t>
      </w:r>
    </w:p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52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2"/>
        </w:numPr>
      </w:pPr>
      <w:r>
        <w:t xml:space="preserve">Good (2005)</w:t>
      </w:r>
      <w:r>
        <w:t xml:space="preserve"> </w:t>
      </w:r>
      <w:r>
        <w:t xml:space="preserve">is a book-length treatment of permutation tests.</w:t>
      </w:r>
    </w:p>
    <w:p>
      <w:pPr>
        <w:pStyle w:val="Compact"/>
        <w:numPr>
          <w:ilvl w:val="0"/>
          <w:numId w:val="1002"/>
        </w:numPr>
      </w:pPr>
      <w:r>
        <w:t xml:space="preserve">Phipson and Smyth (2010)</w:t>
      </w:r>
      <w:r>
        <w:t xml:space="preserve"> </w:t>
      </w:r>
      <w:r>
        <w:t xml:space="preserve">explains why Monte Carlo permutation p-values need the added 1.</w:t>
      </w:r>
    </w:p>
    <w:p>
      <w:pPr>
        <w:pStyle w:val="Compact"/>
        <w:numPr>
          <w:ilvl w:val="0"/>
          <w:numId w:val="1002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applies permutation and other resampling methods to multiple testing.</w:t>
      </w:r>
    </w:p>
    <w:bookmarkEnd w:id="52"/>
    <w:bookmarkStart w:id="64" w:name="references"/>
    <w:p>
      <w:pPr>
        <w:pStyle w:val="Heading2"/>
      </w:pPr>
      <w:r>
        <w:t xml:space="preserve">References</w:t>
      </w:r>
    </w:p>
    <w:bookmarkStart w:id="63" w:name="refs"/>
    <w:bookmarkStart w:id="54" w:name="ref-good2005permutation"/>
    <w:p>
      <w:pPr>
        <w:pStyle w:val="Bibliography"/>
      </w:pPr>
      <w:r>
        <w:t xml:space="preserve">Good, Phillip I. 2005.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. 3rd ed. Springer.</w:t>
      </w:r>
      <w:r>
        <w:t xml:space="preserve"> </w:t>
      </w:r>
      <w:hyperlink r:id="rId53">
        <w:r>
          <w:rPr>
            <w:rStyle w:val="Hyperlink"/>
          </w:rPr>
          <w:t xml:space="preserve">https://doi.org/10.1007/b138696</w:t>
        </w:r>
      </w:hyperlink>
      <w:r>
        <w:t xml:space="preserve">.</w:t>
      </w:r>
    </w:p>
    <w:bookmarkEnd w:id="54"/>
    <w:bookmarkStart w:id="55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55"/>
    <w:bookmarkStart w:id="57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56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57"/>
    <w:bookmarkStart w:id="59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58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59"/>
    <w:bookmarkStart w:id="61" w:name="ref-phipson2010permutation"/>
    <w:p>
      <w:pPr>
        <w:pStyle w:val="Bibliography"/>
      </w:pPr>
      <w:r>
        <w:t xml:space="preserve">Phipson, Belinda, and Gordon K. Smyth. 2010.</w:t>
      </w:r>
      <w:r>
        <w:t xml:space="preserve"> </w:t>
      </w:r>
      <w:r>
        <w:t xml:space="preserve">“Permutation p-Values Should Never Be Zero: Calculating Exact p-Values When Permutations Are Randomly Drawn.”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 </w:t>
      </w:r>
      <w:r>
        <w:t xml:space="preserve">9 (1).</w:t>
      </w:r>
      <w:r>
        <w:t xml:space="preserve"> </w:t>
      </w:r>
      <w:hyperlink r:id="rId60">
        <w:r>
          <w:rPr>
            <w:rStyle w:val="Hyperlink"/>
          </w:rPr>
          <w:t xml:space="preserve">https://doi.org/10.2202/1544-6115.1585</w:t>
        </w:r>
      </w:hyperlink>
      <w:r>
        <w:t xml:space="preserve">.</w:t>
      </w:r>
    </w:p>
    <w:bookmarkEnd w:id="61"/>
    <w:bookmarkStart w:id="62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62"/>
    <w:bookmarkEnd w:id="63"/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9" Type="http://schemas.openxmlformats.org/officeDocument/2006/relationships/image" Target="media/rId39.png"/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6" Type="http://schemas.openxmlformats.org/officeDocument/2006/relationships/hyperlink" Target="https://doi.org/10.1007/978-1-0716-1418-1" TargetMode="External"/><Relationship Id="rId53" Type="http://schemas.openxmlformats.org/officeDocument/2006/relationships/hyperlink" Target="https://doi.org/10.1007/b138696" TargetMode="External"/><Relationship Id="rId58" Type="http://schemas.openxmlformats.org/officeDocument/2006/relationships/hyperlink" Target="https://doi.org/10.1038/89044" TargetMode="External"/><Relationship Id="rId60" Type="http://schemas.openxmlformats.org/officeDocument/2006/relationships/hyperlink" Target="https://doi.org/10.2202/1544-6115.1585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3" Type="http://schemas.openxmlformats.org/officeDocument/2006/relationships/hyperlink" Target="multiple-testing.qmd#def-valid-p-valu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6" Type="http://schemas.openxmlformats.org/officeDocument/2006/relationships/hyperlink" Target="https://doi.org/10.1007/978-1-0716-1418-1" TargetMode="External"/><Relationship Id="rId53" Type="http://schemas.openxmlformats.org/officeDocument/2006/relationships/hyperlink" Target="https://doi.org/10.1007/b138696" TargetMode="External"/><Relationship Id="rId58" Type="http://schemas.openxmlformats.org/officeDocument/2006/relationships/hyperlink" Target="https://doi.org/10.1038/89044" TargetMode="External"/><Relationship Id="rId60" Type="http://schemas.openxmlformats.org/officeDocument/2006/relationships/hyperlink" Target="https://doi.org/10.2202/1544-6115.1585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3" Type="http://schemas.openxmlformats.org/officeDocument/2006/relationships/hyperlink" Target="multiple-testing.qmd#def-valid-p-val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2026-10-16T11:03:50Z</dcterms:created>
  <dcterms:modified xsi:type="dcterms:W3CDTF">2026-10-16T11:03:50Z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03:46:24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