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del w:id="1" w:author="PR Preview" w:date="2026-01-01T00:00:00Z">
        <w:r>
          <w:delText xml:space="preserve">Last modified: 2026-10-13 19:33:04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21:19:56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(Holm 1979)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(Benjamini and Hochberg 1995)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7" w:name="sec-multiplicity"/>
    <w:p>
      <w:pPr>
        <w:pStyle w:val="Heading2"/>
      </w:pPr>
      <w:r>
        <w:t xml:space="preserve">2 The multiplicity problem</w:t>
      </w:r>
    </w:p>
    <w:bookmarkStart w:id="19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thm-false-positive-prob"/>
    <w:p>
      <w:pPr>
        <w:pStyle w:val="FirstParagraph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8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8"/>
    <w:bookmarkEnd w:id="19"/>
    <w:bookmarkStart w:id="26" w:name="sec-khan-tests"/>
    <w:p>
      <w:pPr>
        <w:pStyle w:val="Heading3"/>
      </w:pPr>
      <w:r>
        <w:t xml:space="preserve">2.2 Testing every gene</w:t>
      </w:r>
    </w:p>
    <w:bookmarkStart w:id="25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0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4"/>
        </w:tc>
      </w:tr>
    </w:tbl>
    <w:bookmarkEnd w:id="25"/>
    <w:bookmarkEnd w:id="26"/>
    <w:bookmarkEnd w:id="27"/>
    <w:bookmarkStart w:id="48" w:name="sec-error-rates"/>
    <w:p>
      <w:pPr>
        <w:pStyle w:val="Heading2"/>
      </w:pPr>
      <w:r>
        <w:t xml:space="preserve">3 Error rates for a family of tests</w:t>
      </w:r>
    </w:p>
    <w:bookmarkStart w:id="32" w:name="sec-rejection-counts"/>
    <w:p>
      <w:pPr>
        <w:pStyle w:val="Heading3"/>
      </w:pPr>
      <w:r>
        <w:t xml:space="preserve">3.1 Counting errors</w:t>
      </w:r>
    </w:p>
    <w:bookmarkStart w:id="29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8"/>
          <w:p/>
        </w:tc>
      </w:tr>
    </w:tbl>
    <w:bookmarkEnd w:id="29"/>
    <w:bookmarkStart w:id="30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0"/>
    <w:bookmarkStart w:id="31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1"/>
    <w:bookmarkEnd w:id="32"/>
    <w:bookmarkStart w:id="35" w:name="sec-fwer"/>
    <w:p>
      <w:pPr>
        <w:pStyle w:val="Heading3"/>
      </w:pPr>
      <w:r>
        <w:t xml:space="preserve">3.2 The family-wise error rate</w:t>
      </w:r>
    </w:p>
    <w:bookmarkStart w:id="33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 probability 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3"/>
    <w:bookmarkStart w:id="34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4"/>
    <w:bookmarkEnd w:id="35"/>
    <w:bookmarkStart w:id="42" w:name="sec-fdr"/>
    <w:p>
      <w:pPr>
        <w:pStyle w:val="Heading3"/>
      </w:pPr>
      <w:r>
        <w:t xml:space="preserve">3.3 The false discovery rate</w:t>
      </w:r>
    </w:p>
    <w:bookmarkStart w:id="39" w:name="def-fdr"/>
    <w:p>
      <w:pPr>
        <w:pStyle w:val="FirstParagraph"/>
      </w:pPr>
      <w:r>
        <w:rPr>
          <w:b/>
          <w:bCs/>
        </w:rPr>
        <w:t xml:space="preserve">Definition 3 (False discovery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its expected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false discovery rate was introduced by 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;</w:t>
            </w:r>
            <w:r>
              <w:t xml:space="preserve"> </w:t>
            </w:r>
            <w:r>
              <w:t xml:space="preserve">the notation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James et al. (2021, ch. 13)</w:t>
            </w:r>
            <w:r>
              <w:t xml:space="preserve">.</w:t>
            </w:r>
          </w:p>
          <w:p/>
        </w:tc>
      </w:tr>
    </w:tbl>
    <w:bookmarkEnd w:id="39"/>
    <w:bookmarkStart w:id="40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0"/>
    <w:bookmarkStart w:id="41" w:name="rem-fdr-fwer"/>
    <w:p>
      <w:pPr>
        <w:pStyle w:val="BodyText"/>
      </w:pPr>
      <w:r>
        <w:rPr>
          <w:i/>
          <w:iCs/>
        </w:rPr>
        <w:t xml:space="preserve">Remark 2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1"/>
    <w:bookmarkEnd w:id="42"/>
    <w:bookmarkStart w:id="47" w:name="sec-valid-p-values"/>
    <w:p>
      <w:pPr>
        <w:pStyle w:val="Heading3"/>
      </w:pPr>
      <w:r>
        <w:t xml:space="preserve">3.4 Valid p-values</w:t>
      </w:r>
    </w:p>
    <w:bookmarkStart w:id="43" w:name="def-valid-p-value"/>
    <w:p>
      <w:pPr>
        <w:pStyle w:val="FirstParagraph"/>
      </w:pPr>
      <w:r>
        <w:rPr>
          <w:b/>
          <w:bCs/>
        </w:rPr>
        <w:t xml:space="preserve">Definition 4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the inequality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3"/>
    <w:bookmarkStart w:id="44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4"/>
    <w:bookmarkStart w:id="46" w:name="rem-valid-p-value-discrete"/>
    <w:p>
      <w:pPr>
        <w:pStyle w:val="BodyText"/>
      </w:pPr>
      <w:r>
        <w:rPr>
          <w:i/>
          <w:iCs/>
        </w:rPr>
        <w:t xml:space="preserve">Remark 3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5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46"/>
    <w:bookmarkEnd w:id="47"/>
    <w:bookmarkEnd w:id="48"/>
    <w:bookmarkStart w:id="71" w:name="sec-fwer-control"/>
    <w:p>
      <w:pPr>
        <w:pStyle w:val="Heading2"/>
      </w:pPr>
      <w:r>
        <w:t xml:space="preserve">4 Controlling the family-wise error rate</w:t>
      </w:r>
    </w:p>
    <w:bookmarkStart w:id="61" w:name="sec-bonferroni"/>
    <w:p>
      <w:pPr>
        <w:pStyle w:val="Heading3"/>
      </w:pPr>
      <w:r>
        <w:t xml:space="preserve">4.1 The Bonferroni correction</w:t>
      </w:r>
    </w:p>
    <w:bookmarkStart w:id="51" w:name="def-bonferroni"/>
    <w:p>
      <w:pPr>
        <w:pStyle w:val="FirstParagraph"/>
      </w:pPr>
      <w:r>
        <w:rPr>
          <w:b/>
          <w:bCs/>
        </w:rPr>
        <w:t xml:space="preserve">Definition 5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ch. 13)</w:t>
            </w:r>
            <w:r>
              <w:t xml:space="preserve">.</w:t>
            </w:r>
          </w:p>
          <w:p/>
        </w:tc>
      </w:tr>
    </w:tbl>
    <w:bookmarkEnd w:id="51"/>
    <w:bookmarkStart w:id="52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2"/>
    <w:bookmarkStart w:id="53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3"/>
    <w:bookmarkStart w:id="54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Fix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4"/>
    <w:bookmarkStart w:id="55" w:name="thm-union-bound"/>
    <w:p>
      <w:pPr>
        <w:pStyle w:val="FirstParagraph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 probability of their union is at most the sum of their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6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6"/>
    <w:bookmarkStart w:id="57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57"/>
    <w:bookmarkStart w:id="58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58"/>
    <w:bookmarkStart w:id="59" w:name="thm-bonferroni-fwer"/>
    <w:p>
      <w:pPr>
        <w:pStyle w:val="FirstParagraph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0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pays for this with power: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0"/>
    <w:bookmarkEnd w:id="61"/>
    <w:bookmarkStart w:id="70" w:name="sec-holm"/>
    <w:p>
      <w:pPr>
        <w:pStyle w:val="Heading3"/>
      </w:pPr>
      <w:r>
        <w:t xml:space="preserve">4.2 Holm’s step-down procedure</w:t>
      </w:r>
    </w:p>
    <w:bookmarkStart w:id="64" w:name="def-holm"/>
    <w:p>
      <w:pPr>
        <w:pStyle w:val="FirstParagraph"/>
      </w:pPr>
      <w:r>
        <w:rPr>
          <w:b/>
          <w:bCs/>
        </w:rPr>
        <w:t xml:space="preserve">Definition 6 (Holm’s step-down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Holm</w:t>
            </w:r>
            <w:r>
              <w:t xml:space="preserve"> </w:t>
            </w:r>
            <w:r>
              <w:t xml:space="preserve">(1979)</w:t>
            </w:r>
            <w:r>
              <w:t xml:space="preserve">.</w:t>
            </w:r>
          </w:p>
          <w:p/>
        </w:tc>
      </w:tr>
    </w:tbl>
    <w:bookmarkEnd w:id="64"/>
    <w:bookmarkStart w:id="65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5"/>
    <w:bookmarkStart w:id="66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6"/>
    <w:bookmarkStart w:id="67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">
        <w:r>
          <w:rPr>
            <w:rStyle w:val="Hyperlink"/>
          </w:rPr>
          <w:t xml:space="preserve">Definition 6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67"/>
    <w:bookmarkStart w:id="68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4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69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69"/>
    <w:bookmarkEnd w:id="70"/>
    <w:bookmarkEnd w:id="71"/>
    <w:bookmarkStart w:id="83" w:name="sec-fdr-control"/>
    <w:p>
      <w:pPr>
        <w:pStyle w:val="Heading2"/>
      </w:pPr>
      <w:r>
        <w:t xml:space="preserve">5 Controlling the false discovery rate</w:t>
      </w:r>
    </w:p>
    <w:bookmarkStart w:id="82" w:name="sec-bh"/>
    <w:p>
      <w:pPr>
        <w:pStyle w:val="Heading3"/>
      </w:pPr>
      <w:r>
        <w:t xml:space="preserve">5.1 The Benjamini–Hochberg procedure</w:t>
      </w:r>
    </w:p>
    <w:bookmarkStart w:id="74" w:name="def-bh"/>
    <w:p>
      <w:pPr>
        <w:pStyle w:val="FirstParagraph"/>
      </w:pPr>
      <w:r>
        <w:rPr>
          <w:b/>
          <w:bCs/>
        </w:rPr>
        <w:t xml:space="preserve">Definition 7 (Benjamini–Hochberg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">
        <w:r>
          <w:rPr>
            <w:rStyle w:val="Hyperlink"/>
          </w:rPr>
          <w:t xml:space="preserve">Definition 6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be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.</w:t>
            </w:r>
          </w:p>
          <w:p/>
        </w:tc>
      </w:tr>
    </w:tbl>
    <w:bookmarkEnd w:id="74"/>
    <w:bookmarkStart w:id="75" w:name="rem-bh-step-up"/>
    <w:p>
      <w:pPr>
        <w:pStyle w:val="BodyText"/>
      </w:pPr>
      <w:r>
        <w:rPr>
          <w:i/>
          <w:iCs/>
        </w:rPr>
        <w:t xml:space="preserve">Remark 4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5"/>
    <w:bookmarkStart w:id="76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6"/>
    <w:bookmarkStart w:id="79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,</w:t>
            </w:r>
            <w:r>
              <w:t xml:space="preserve"> </w:t>
            </w:r>
            <w:r>
              <w:t xml:space="preserve">which proves the result for any configuration of false null hypotheses.</w:t>
            </w:r>
            <w:r>
              <w:t xml:space="preserve"> </w:t>
            </w:r>
            <w:r>
              <w:t xml:space="preserve">The proof is omitted here.</w:t>
            </w:r>
          </w:p>
          <w:p/>
        </w:tc>
      </w:tr>
    </w:tbl>
    <w:bookmarkEnd w:id="79"/>
    <w:bookmarkStart w:id="80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0"/>
    <w:bookmarkStart w:id="81" w:name="rem-bh-dependence"/>
    <w:p>
      <w:pPr>
        <w:pStyle w:val="BodyText"/>
      </w:pPr>
      <w:r>
        <w:rPr>
          <w:i/>
          <w:iCs/>
        </w:rPr>
        <w:t xml:space="preserve">Remark 5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(2001)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(2021, ch. 13)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(2016, ch. 15)</w:t>
      </w:r>
      <w:r>
        <w:t xml:space="preserve"> </w:t>
      </w:r>
      <w:r>
        <w:t xml:space="preserve">discuss the procedure in practice.</w:t>
      </w:r>
    </w:p>
    <w:bookmarkEnd w:id="81"/>
    <w:bookmarkEnd w:id="82"/>
    <w:bookmarkEnd w:id="83"/>
    <w:bookmarkStart w:id="87" w:name="sec-adjusted-p-values"/>
    <w:p>
      <w:pPr>
        <w:pStyle w:val="Heading2"/>
      </w:pPr>
      <w:r>
        <w:t xml:space="preserve">6 Adjusted p-values and q-values</w:t>
      </w:r>
    </w:p>
    <w:bookmarkStart w:id="84" w:name="def-adjusted-p-value"/>
    <w:p>
      <w:pPr>
        <w:pStyle w:val="FirstParagraph"/>
      </w:pPr>
      <w:r>
        <w:rPr>
          <w:b/>
          <w:bCs/>
        </w:rPr>
        <w:t xml:space="preserve">Definition 8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4"/>
    <w:bookmarkStart w:id="85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5"/>
    <w:bookmarkStart w:id="86" w:name="rem-q-value"/>
    <w:p>
      <w:pPr>
        <w:pStyle w:val="BodyText"/>
      </w:pPr>
      <w:r>
        <w:rPr>
          <w:i/>
          <w:iCs/>
        </w:rPr>
        <w:t xml:space="preserve">Remark 6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(2002)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6"/>
    <w:bookmarkEnd w:id="87"/>
    <w:bookmarkStart w:id="90" w:name="sec-procedure-comparison"/>
    <w:p>
      <w:pPr>
        <w:pStyle w:val="Heading2"/>
      </w:pPr>
      <w:r>
        <w:t xml:space="preserve">7 Comparing the procedures</w:t>
      </w:r>
    </w:p>
    <w:bookmarkStart w:id="88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88"/>
    <w:bookmarkStart w:id="89" w:name="rem-choosing-error-rate"/>
    <w:p>
      <w:pPr>
        <w:pStyle w:val="BodyText"/>
      </w:pPr>
      <w:r>
        <w:rPr>
          <w:i/>
          <w:iCs/>
        </w:rPr>
        <w:t xml:space="preserve">Remark 7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89"/>
    <w:bookmarkEnd w:id="90"/>
    <w:bookmarkStart w:id="106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4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4"/>
        </w:numPr>
      </w:pPr>
      <w:r>
        <w:t xml:space="preserve">Chapter 15 of</w:t>
      </w:r>
      <w:r>
        <w:t xml:space="preserve"> </w:t>
      </w:r>
      <w:r>
        <w:t xml:space="preserve">Efron and Hastie (2016)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4"/>
        </w:numPr>
      </w:pPr>
      <w:r>
        <w:t xml:space="preserve">Andrew Lin’s</w:t>
      </w:r>
      <w:r>
        <w:t xml:space="preserve"> </w:t>
      </w:r>
      <w:hyperlink r:id="rId91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Start w:id="105" w:name="refs"/>
    <w:bookmarkStart w:id="93" w:name="ref-benjamini1995controlling"/>
    <w:p>
      <w:pPr>
        <w:pStyle w:val="Bibliography"/>
      </w:pPr>
      <w:r>
        <w:t xml:space="preserve">Benjamini, Yoav, and Yosef Hochberg. 1995.</w:t>
      </w:r>
      <w:r>
        <w:t xml:space="preserve"> </w:t>
      </w:r>
      <w:r>
        <w:t xml:space="preserve">“Controlling the False Discovery Rate: A Practical and Powerful Approach to Multiple Testing.”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 </w:t>
      </w:r>
      <w:r>
        <w:t xml:space="preserve">57 (1): 289–300.</w:t>
      </w:r>
      <w:r>
        <w:t xml:space="preserve"> </w:t>
      </w:r>
      <w:hyperlink r:id="rId92">
        <w:r>
          <w:rPr>
            <w:rStyle w:val="Hyperlink"/>
          </w:rPr>
          <w:t xml:space="preserve">https://doi.org/10.1111/j.2517-6161.1995.tb02031.x</w:t>
        </w:r>
      </w:hyperlink>
      <w:r>
        <w:t xml:space="preserve">.</w:t>
      </w:r>
    </w:p>
    <w:bookmarkEnd w:id="93"/>
    <w:bookmarkStart w:id="95" w:name="ref-benjamini2001control"/>
    <w:p>
      <w:pPr>
        <w:pStyle w:val="Bibliography"/>
      </w:pPr>
      <w:r>
        <w:t xml:space="preserve">Benjamini, Yoav, and Daniel Yekutieli. 2001.</w:t>
      </w:r>
      <w:r>
        <w:t xml:space="preserve"> </w:t>
      </w:r>
      <w:r>
        <w:t xml:space="preserve">“The Control of the False Discovery Rate in Multiple Testing Under Dependency.”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29 (4).</w:t>
      </w:r>
      <w:r>
        <w:t xml:space="preserve"> </w:t>
      </w:r>
      <w:hyperlink r:id="rId94">
        <w:r>
          <w:rPr>
            <w:rStyle w:val="Hyperlink"/>
          </w:rPr>
          <w:t xml:space="preserve">https://doi.org/10.1214/aos/1013699998</w:t>
        </w:r>
      </w:hyperlink>
      <w:r>
        <w:t xml:space="preserve">.</w:t>
      </w:r>
    </w:p>
    <w:bookmarkEnd w:id="95"/>
    <w:bookmarkStart w:id="97" w:name="ref-efron2016computer"/>
    <w:p>
      <w:pPr>
        <w:pStyle w:val="Bibliography"/>
      </w:pPr>
      <w:r>
        <w:t xml:space="preserve">Efron, Bradley, and Trevor Hastie. 2016.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Press.</w:t>
      </w:r>
      <w:r>
        <w:t xml:space="preserve"> </w:t>
      </w:r>
      <w:hyperlink r:id="rId96">
        <w:r>
          <w:rPr>
            <w:rStyle w:val="Hyperlink"/>
          </w:rPr>
          <w:t xml:space="preserve">https://doi.org/10.1017/CBO9781316576533</w:t>
        </w:r>
      </w:hyperlink>
      <w:r>
        <w:t xml:space="preserve">.</w:t>
      </w:r>
    </w:p>
    <w:bookmarkEnd w:id="97"/>
    <w:bookmarkStart w:id="98" w:name="ref-holm1979simple"/>
    <w:p>
      <w:pPr>
        <w:pStyle w:val="Bibliography"/>
      </w:pPr>
      <w:r>
        <w:t xml:space="preserve">Holm, Sture. 1979.</w:t>
      </w:r>
      <w:r>
        <w:t xml:space="preserve"> </w:t>
      </w:r>
      <w:r>
        <w:t xml:space="preserve">“A Simple Sequentially Rejective Multiple Test Procedure.”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 </w:t>
      </w:r>
      <w:r>
        <w:t xml:space="preserve">6 (2): 65–70.</w:t>
      </w:r>
    </w:p>
    <w:bookmarkEnd w:id="98"/>
    <w:bookmarkStart w:id="100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99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00"/>
    <w:bookmarkStart w:id="102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101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102"/>
    <w:bookmarkStart w:id="104" w:name="ref-storey2002direct"/>
    <w:p>
      <w:pPr>
        <w:pStyle w:val="Bibliography"/>
      </w:pPr>
      <w:r>
        <w:t xml:space="preserve">Storey, John D. 2002.</w:t>
      </w:r>
      <w:r>
        <w:t xml:space="preserve"> </w:t>
      </w:r>
      <w:r>
        <w:t xml:space="preserve">“A Direct Approach to False Discovery Rates.”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 </w:t>
      </w:r>
      <w:r>
        <w:t xml:space="preserve">64 (3): 479–98.</w:t>
      </w:r>
      <w:r>
        <w:t xml:space="preserve"> </w:t>
      </w:r>
      <w:hyperlink r:id="rId103">
        <w:r>
          <w:rPr>
            <w:rStyle w:val="Hyperlink"/>
          </w:rPr>
          <w:t xml:space="preserve">https://doi.org/10.1111/1467-9868.00346</w:t>
        </w:r>
      </w:hyperlink>
      <w:r>
        <w:t xml:space="preserve">.</w:t>
      </w:r>
    </w:p>
    <w:bookmarkEnd w:id="104"/>
    <w:bookmarkEnd w:id="105"/>
    <w:bookmarkEnd w:id="10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6" Type="http://schemas.openxmlformats.org/officeDocument/2006/relationships/image" Target="media/rId36.png"/><Relationship Id="rId21" Type="http://schemas.openxmlformats.org/officeDocument/2006/relationships/image" Target="media/rId21.png"/><Relationship Id="rId20" Type="http://schemas.openxmlformats.org/officeDocument/2006/relationships/hyperlink" Target="basic-statistical-methods.qmd#def-two-sample-t-test" TargetMode="External"/><Relationship Id="rId45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99" Type="http://schemas.openxmlformats.org/officeDocument/2006/relationships/hyperlink" Target="https://doi.org/10.1007/978-1-0716-1418-1" TargetMode="External"/><Relationship Id="rId96" Type="http://schemas.openxmlformats.org/officeDocument/2006/relationships/hyperlink" Target="https://doi.org/10.1017/CBO9781316576533" TargetMode="External"/><Relationship Id="rId101" Type="http://schemas.openxmlformats.org/officeDocument/2006/relationships/hyperlink" Target="https://doi.org/10.1038/89044" TargetMode="External"/><Relationship Id="rId103" Type="http://schemas.openxmlformats.org/officeDocument/2006/relationships/hyperlink" Target="https://doi.org/10.1111/1467-9868.00346" TargetMode="External"/><Relationship Id="rId92" Type="http://schemas.openxmlformats.org/officeDocument/2006/relationships/hyperlink" Target="https://doi.org/10.1111/j.2517-6161.1995.tb02031.x" TargetMode="External"/><Relationship Id="rId94" Type="http://schemas.openxmlformats.org/officeDocument/2006/relationships/hyperlink" Target="https://doi.org/10.1214/aos/1013699998" TargetMode="External"/><Relationship Id="rId91" Type="http://schemas.openxmlformats.org/officeDocument/2006/relationships/hyperlink" Target="https://web.stanford.edu/~lindrew/stats300C.pdf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basic-statistical-methods.qmd#def-two-sample-t-test" TargetMode="External"/><Relationship Id="rId45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99" Type="http://schemas.openxmlformats.org/officeDocument/2006/relationships/hyperlink" Target="https://doi.org/10.1007/978-1-0716-1418-1" TargetMode="External"/><Relationship Id="rId96" Type="http://schemas.openxmlformats.org/officeDocument/2006/relationships/hyperlink" Target="https://doi.org/10.1017/CBO9781316576533" TargetMode="External"/><Relationship Id="rId101" Type="http://schemas.openxmlformats.org/officeDocument/2006/relationships/hyperlink" Target="https://doi.org/10.1038/89044" TargetMode="External"/><Relationship Id="rId103" Type="http://schemas.openxmlformats.org/officeDocument/2006/relationships/hyperlink" Target="https://doi.org/10.1111/1467-9868.00346" TargetMode="External"/><Relationship Id="rId92" Type="http://schemas.openxmlformats.org/officeDocument/2006/relationships/hyperlink" Target="https://doi.org/10.1111/j.2517-6161.1995.tb02031.x" TargetMode="External"/><Relationship Id="rId94" Type="http://schemas.openxmlformats.org/officeDocument/2006/relationships/hyperlink" Target="https://doi.org/10.1214/aos/1013699998" TargetMode="External"/><Relationship Id="rId91" Type="http://schemas.openxmlformats.org/officeDocument/2006/relationships/hyperlink" Target="https://web.stanford.edu/~lindrew/stats300C.pdf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2026-10-14T04:35:54Z</dcterms:created>
  <dcterms:modified xsi:type="dcterms:W3CDTF">2026-10-14T04:35:54Z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21:19:56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