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2026-10-15 15:19:11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15:28:39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2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bookmarkEnd w:id="12"/>
    <w:bookmarkStart w:id="13" w:name="rem-source-consistent"/>
    <w:p>
      <w:pPr>
        <w:pStyle w:val="BodyText"/>
      </w:pPr>
      <w:r>
        <w:rPr>
          <w:i/>
          <w:iCs/>
        </w:rPr>
        <w:t xml:space="preserve">Remark 1</w:t>
      </w:r>
      <w:r>
        <w:t xml:space="preserve"> (Source: Consistent estimator). </w:t>
      </w:r>
      <w:r>
        <w:t xml:space="preserve">Casella and Berger (2002, Def. 10.1.1)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2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bookmarkEnd w:id="36"/>
    <w:bookmarkStart w:id="37" w:name="rem-source-relative-efficiency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Relative efficiency). </w:t>
      </w:r>
      <w:r>
        <w:t xml:space="preserve">Casella and Berger (2002)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4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(2002, sec. 10.1, pp. 467–480)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7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6" w:name="rem-source-cramer-rao"/>
    <w:p>
      <w:pPr>
        <w:pStyle w:val="BodyText"/>
      </w:pPr>
      <w:r>
        <w:rPr>
          <w:i/>
          <w:iCs/>
        </w:rPr>
        <w:t xml:space="preserve">Remark 5</w:t>
      </w:r>
      <w:r>
        <w:t xml:space="preserve"> (Source: Cramér–Rao lower bound). </w:t>
      </w:r>
      <w:r>
        <w:t xml:space="preserve">Rao (1945)</w:t>
      </w:r>
      <w:r>
        <w:t xml:space="preserve">;</w:t>
      </w:r>
      <w:r>
        <w:t xml:space="preserve"> </w:t>
      </w:r>
      <w:r>
        <w:t xml:space="preserve">Cramér (1946)</w:t>
      </w:r>
      <w:r>
        <w:t xml:space="preserve">;</w:t>
      </w:r>
      <w:r>
        <w:t xml:space="preserve"> </w:t>
      </w:r>
      <w:r>
        <w:t xml:space="preserve">Casella and Berger (2002, Thm. 7.3.9, p. 335)</w:t>
      </w:r>
      <w:r>
        <w:t xml:space="preserve">.</w:t>
      </w:r>
    </w:p>
    <w:bookmarkEnd w:id="56"/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7"/>
    <w:bookmarkStart w:id="58" w:name="rem-source-efficien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Efficient estimator). </w:t>
      </w:r>
      <w:r>
        <w:t xml:space="preserve">Casella and Berger (2002, sec. 7.3.2)</w:t>
      </w:r>
      <w:r>
        <w:t xml:space="preserve">.</w:t>
      </w:r>
    </w:p>
    <w:bookmarkEnd w:id="58"/>
    <w:bookmarkStart w:id="59" w:name="rem-efficient-minimum-variance"/>
    <w:p>
      <w:pPr>
        <w:pStyle w:val="BodyText"/>
      </w:pPr>
      <w:r>
        <w:rPr>
          <w:i/>
          <w:iCs/>
        </w:rPr>
        <w:t xml:space="preserve">Remark 7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59"/>
    <w:bookmarkStart w:id="63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2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3"/>
    <w:bookmarkStart w:id="66" w:name="rem-cramer-rao-scop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4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5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6"/>
    <w:p>
      <w:pPr>
        <w:pStyle w:val="Compact"/>
        <w:numPr>
          <w:ilvl w:val="0"/>
          <w:numId w:val="1001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(2002, sec. 7.3.2, pp. 334–341)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(2007, sec. 8.7, pp. 298–304)</w:t>
      </w:r>
      <w:r>
        <w:t xml:space="preserve"> </w:t>
      </w:r>
      <w:r>
        <w:t xml:space="preserve">covers efficiency and the Cramér–Rao lower bound.</w:t>
      </w:r>
    </w:p>
    <w:bookmarkEnd w:id="67"/>
    <w:bookmarkStart w:id="77" w:name="references"/>
    <w:p>
      <w:pPr>
        <w:pStyle w:val="Heading2"/>
      </w:pPr>
      <w:r>
        <w:t xml:space="preserve">References</w:t>
      </w:r>
    </w:p>
    <w:bookmarkStart w:id="76" w:name="refs"/>
    <w:bookmarkStart w:id="69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8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9"/>
    <w:bookmarkStart w:id="71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0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1"/>
    <w:bookmarkStart w:id="7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2"/>
    <w:bookmarkStart w:id="73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3"/>
    <w:bookmarkStart w:id="74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4"/>
    <w:bookmarkStart w:id="7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75"/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60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0" Type="http://schemas.openxmlformats.org/officeDocument/2006/relationships/hyperlink" Target="https://doi.org/10.1515/9781400883868" TargetMode="External"/><Relationship Id="rId11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5" Type="http://schemas.openxmlformats.org/officeDocument/2006/relationships/hyperlink" Target="https://morrison-lab.github.io/pds/variance-covariance.html#thm-cor-bounds" TargetMode="External"/><Relationship Id="rId68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2" Type="http://schemas.openxmlformats.org/officeDocument/2006/relationships/hyperlink" Target="intro-MLEs.qmd#exm-dist-mle-poisson" TargetMode="External"/><Relationship Id="rId64" Type="http://schemas.openxmlformats.org/officeDocument/2006/relationships/hyperlink" Target="intro-MLEs.qmd#exm-information-equality-fails" TargetMode="External"/><Relationship Id="rId61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5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2026-10-15T22:45:06Z</dcterms:created>
  <dcterms:modified xsi:type="dcterms:W3CDTF">2026-10-15T22:45:06Z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15:28:39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