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del w:id="1" w:author="PR Preview" w:date="2026-01-01T00:00:00Z">
        <w:r>
          <w:delText xml:space="preserve">Last modified: 2026-10-15 09:04:24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09:32:37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4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is a number or vector we can compute.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7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nor/>
              <m:sty m:val="p"/>
            </m:rPr>
            <m:t> does not depend on </m:t>
          </m:r>
          <m:r>
            <m:t>θ</m:t>
          </m:r>
          <m:r>
            <m:t> </m:t>
          </m:r>
          <m:r>
            <m:rPr>
              <m:nor/>
              <m:sty m:val="p"/>
            </m:rPr>
            <m:t>wherever </m:t>
          </m:r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Fisher (1922)</w:t>
            </w:r>
            <w:r>
              <w:t xml:space="preserve"> </w:t>
            </w:r>
            <w:r>
              <w:t xml:space="preserve">introduced sufficiency;</w:t>
            </w:r>
            <w:r>
              <w:t xml:space="preserve"> </w:t>
            </w:r>
            <w:r>
              <w:t xml:space="preserve">Casella and Berger (2002, Def. 6.2.1, p. 272)</w:t>
            </w:r>
            <w:r>
              <w:t xml:space="preserve">.</w:t>
            </w:r>
          </w:p>
          <w:p/>
        </w:tc>
      </w:tr>
    </w:tbl>
    <w:bookmarkEnd w:id="17"/>
    <w:bookmarkStart w:id="18" w:name="rem-sufficient-meaning"/>
    <w:p>
      <w:pPr>
        <w:pStyle w:val="BodyText"/>
      </w:pPr>
      <w:r>
        <w:rPr>
          <w:i/>
          <w:iCs/>
        </w:rPr>
        <w:t xml:space="preserve">Remark 2</w:t>
      </w:r>
      <w:r>
        <w:t xml:space="preserve"> (What sufficiency says). </w:t>
      </w:r>
      <w:r>
        <w:t xml:space="preserve">Once we know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8"/>
    <w:bookmarkStart w:id="22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be the joint probability mass function of a discrete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9" w:name="eq-factorization"/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;</m:t>
              </m:r>
              <m:r>
                <m:t>θ</m:t>
              </m:r>
            </m:e>
          </m:d>
          <m:r>
            <m:t>​</m:t>
          </m:r>
          <m:r>
            <m:t> 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where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Halmos and Savage (1949)</w:t>
            </w:r>
            <w:r>
              <w:t xml:space="preserve">, whom</w:t>
            </w:r>
            <w:r>
              <w:t xml:space="preserve"> </w:t>
            </w:r>
            <w:r>
              <w:t xml:space="preserve">Casella and Berger (2002, Thm. 6.2.6, p. 276, and its footnote)</w:t>
            </w:r>
            <w:r>
              <w:t xml:space="preserve"> </w:t>
            </w:r>
            <w:r>
              <w:t xml:space="preserve">credit with the general form, and Neyman (1935) with an earlier one.</w:t>
            </w:r>
          </w:p>
          <w:p/>
        </w:tc>
      </w:tr>
    </w:tbl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write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lies inside 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conditional probability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lies inside 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event is inside the second)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r>
                <m:t>g</m:t>
              </m:r>
              <m:r>
                <m:rPr>
                  <m:nor/>
                  <m:sty m:val="p"/>
                </m:rPr>
                <m:t> and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is the union of the disjoint events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over the samples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f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(disjoint events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has 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common term)</m:t>
              </m:r>
            </m:e>
          </m:eqArr>
        </m:oMath>
      </m:oMathPara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num>
                <m:den>
                  <m:limLow>
                    <m:e>
                      <m:r>
                        <m:rPr>
                          <m:sty m:val="p"/>
                        </m:rPr>
                        <m:t>Pr</m:t>
                      </m:r>
                    </m:e>
                    <m:lim>
                      <m:r>
                        <m:t>θ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h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: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(factorization, and 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: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≠</m:t>
        </m:r>
        <m:r>
          <m:t>t</m:t>
        </m:r>
      </m:oMath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sufficient.</w:t>
      </w:r>
    </w:p>
    <w:bookmarkStart w:id="23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sSup>
                <m:e>
                  <m:r>
                    <m:t>λ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factors)</m:t>
              </m:r>
            </m:e>
          </m:eqArr>
        </m:oMath>
      </m:oMathPara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3"/>
    <w:bookmarkEnd w:id="24"/>
    <w:bookmarkStart w:id="49" w:name="sec-rao-blackwell"/>
    <w:p>
      <w:pPr>
        <w:pStyle w:val="Heading2"/>
      </w:pPr>
      <w:r>
        <w:t xml:space="preserve">2 The Rao–Blackwell theorem</w:t>
      </w:r>
    </w:p>
    <w:bookmarkStart w:id="26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5" w:name="eq-rao-blackwel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B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∣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7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 discrete sample, and fix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takes with positive probability.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  <m:sup>
                  <m:r>
                    <m:t>​</m:t>
                  </m:r>
                </m: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expectation)</m:t>
              </m:r>
            </m:e>
          </m:eqArr>
        </m:oMath>
      </m:oMathPara>
    </w:p>
    <w:p>
      <w:pPr>
        <w:pStyle w:val="FirstParagraph"/>
      </w:pPr>
      <w:r>
        <w:t xml:space="preserve">Each term involves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</m:eqArr>
        </m:oMath>
      </m:oMathPara>
    </w:p>
    <w:bookmarkStart w:id="34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Rao (1945)</w:t>
            </w:r>
            <w:r>
              <w:t xml:space="preserve">;</w:t>
            </w:r>
            <w:r>
              <w:t xml:space="preserve"> </w:t>
            </w:r>
            <w:r>
              <w:t xml:space="preserve">Blackwell (1947)</w:t>
            </w:r>
            <w:r>
              <w:t xml:space="preserve">;</w:t>
            </w:r>
            <w:r>
              <w:t xml:space="preserve"> </w:t>
            </w:r>
            <w:r>
              <w:t xml:space="preserve">Casella and Berger (2002, Thm. 7.3.17, p. 342)</w:t>
            </w:r>
            <w:r>
              <w:t xml:space="preserve">.</w:t>
            </w:r>
          </w:p>
          <w:p/>
        </w:tc>
      </w:tr>
    </w:tbl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5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nonnegative)</m:t>
              </m:r>
            </m:e>
          </m:eqArr>
        </m:oMath>
      </m:oMathPara>
    </w:p>
    <w:bookmarkStart w:id="37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6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7"/>
    <w:bookmarkStart w:id="38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8"/>
    <w:bookmarkStart w:id="40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9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9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4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7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4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2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6"/>
        </w:tc>
      </w:tr>
    </w:tbl>
    <w:bookmarkEnd w:id="47"/>
    <w:bookmarkStart w:id="48" w:name="rem-rb-insufficient"/>
    <w:p>
      <w:pPr>
        <w:pStyle w:val="BodyText"/>
      </w:pPr>
      <w:r>
        <w:rPr>
          <w:i/>
          <w:iCs/>
        </w:rPr>
        <w:t xml:space="preserve">Remark 3</w:t>
      </w:r>
      <w:r>
        <w:t xml:space="preserve"> (Sufficiency is needed). </w:t>
      </w:r>
      <w:r>
        <w:t xml:space="preserve">If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not sufficient, 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(2002, Example 7.3.18)</w:t>
      </w:r>
      <w:r>
        <w:t xml:space="preserve">).</w:t>
      </w:r>
    </w:p>
    <w:bookmarkEnd w:id="48"/>
    <w:bookmarkEnd w:id="49"/>
    <w:bookmarkStart w:id="61" w:name="references"/>
    <w:p>
      <w:pPr>
        <w:pStyle w:val="Heading2"/>
      </w:pPr>
      <w:r>
        <w:t xml:space="preserve">References</w:t>
      </w:r>
    </w:p>
    <w:bookmarkStart w:id="60" w:name="refs"/>
    <w:bookmarkStart w:id="51" w:name="ref-blackwell1947conditional"/>
    <w:p>
      <w:pPr>
        <w:pStyle w:val="Bibliography"/>
      </w:pPr>
      <w:r>
        <w:t xml:space="preserve">Blackwell, David. 1947.</w:t>
      </w:r>
      <w:r>
        <w:t xml:space="preserve"> </w:t>
      </w:r>
      <w:r>
        <w:t xml:space="preserve">“Conditional Expectation and Unbiased Sequential Estimation.”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18 (1): 105–10.</w:t>
      </w:r>
      <w:r>
        <w:t xml:space="preserve"> </w:t>
      </w:r>
      <w:hyperlink r:id="rId50">
        <w:r>
          <w:rPr>
            <w:rStyle w:val="Hyperlink"/>
          </w:rPr>
          <w:t xml:space="preserve">https://doi.org/10.1214/aoms/1177730497</w:t>
        </w:r>
      </w:hyperlink>
      <w:r>
        <w:t xml:space="preserve">.</w:t>
      </w:r>
    </w:p>
    <w:bookmarkEnd w:id="51"/>
    <w:bookmarkStart w:id="5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3"/>
    <w:bookmarkStart w:id="55" w:name="ref-fisher1922mathematical"/>
    <w:p>
      <w:pPr>
        <w:pStyle w:val="Bibliography"/>
      </w:pPr>
      <w:r>
        <w:t xml:space="preserve">Fisher, Ronald A. 1922.</w:t>
      </w:r>
      <w:r>
        <w:t xml:space="preserve"> </w:t>
      </w:r>
      <w:r>
        <w:t xml:space="preserve">“On the Mathematical Foundations of Theoretical Statistics.”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 </w:t>
      </w:r>
      <w:r>
        <w:t xml:space="preserve">222 (594–604): 309–68.</w:t>
      </w:r>
      <w:r>
        <w:t xml:space="preserve"> </w:t>
      </w:r>
      <w:hyperlink r:id="rId54">
        <w:r>
          <w:rPr>
            <w:rStyle w:val="Hyperlink"/>
          </w:rPr>
          <w:t xml:space="preserve">https://doi.org/10.1098/rsta.1922.0009</w:t>
        </w:r>
      </w:hyperlink>
      <w:r>
        <w:t xml:space="preserve">.</w:t>
      </w:r>
    </w:p>
    <w:bookmarkEnd w:id="55"/>
    <w:bookmarkStart w:id="57" w:name="ref-halmos1949application"/>
    <w:p>
      <w:pPr>
        <w:pStyle w:val="Bibliography"/>
      </w:pPr>
      <w:r>
        <w:t xml:space="preserve">Halmos, Paul R., and Leonard J. Savage. 1949.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20 (2): 225–41.</w:t>
      </w:r>
      <w:r>
        <w:t xml:space="preserve"> </w:t>
      </w:r>
      <w:hyperlink r:id="rId56">
        <w:r>
          <w:rPr>
            <w:rStyle w:val="Hyperlink"/>
          </w:rPr>
          <w:t xml:space="preserve">https://doi.org/10.1214/aoms/1177730032</w:t>
        </w:r>
      </w:hyperlink>
      <w:r>
        <w:t xml:space="preserve">.</w:t>
      </w:r>
    </w:p>
    <w:bookmarkEnd w:id="57"/>
    <w:bookmarkStart w:id="58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58"/>
    <w:bookmarkStart w:id="59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4" Type="http://schemas.openxmlformats.org/officeDocument/2006/relationships/image" Target="media/rId14.png"/><Relationship Id="rId43" Type="http://schemas.openxmlformats.org/officeDocument/2006/relationships/image" Target="media/rId43.png"/><Relationship Id="rId42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41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6" Type="http://schemas.openxmlformats.org/officeDocument/2006/relationships/hyperlink" Target="https://doi.org/10.1214/aoms/1177730032" TargetMode="External"/><Relationship Id="rId50" Type="http://schemas.openxmlformats.org/officeDocument/2006/relationships/hyperlink" Target="https://doi.org/10.1214/aoms/1177730497" TargetMode="External"/><Relationship Id="rId36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35" Type="http://schemas.openxmlformats.org/officeDocument/2006/relationships/hyperlink" Target="https://morrison-lab.github.io/pds/variance-covariance.html#thm-total-variance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42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41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6" Type="http://schemas.openxmlformats.org/officeDocument/2006/relationships/hyperlink" Target="https://doi.org/10.1214/aoms/1177730032" TargetMode="External"/><Relationship Id="rId50" Type="http://schemas.openxmlformats.org/officeDocument/2006/relationships/hyperlink" Target="https://doi.org/10.1214/aoms/1177730497" TargetMode="External"/><Relationship Id="rId36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35" Type="http://schemas.openxmlformats.org/officeDocument/2006/relationships/hyperlink" Target="https://morrison-lab.github.io/pds/variance-covariance.html#thm-total-variance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2026-10-15T16:47:08Z</dcterms:created>
  <dcterms:modified xsi:type="dcterms:W3CDTF">2026-10-15T16:47:08Z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09:32:37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