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2026-10-14 13:52:56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3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6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2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false discovery rate was introduced by 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;</w:t>
            </w:r>
            <w:r>
              <w:t xml:space="preserve"> </w:t>
            </w:r>
            <w:r>
              <w:t xml:space="preserve">the notation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42"/>
    <w:bookmarkStart w:id="43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3"/>
    <w:bookmarkStart w:id="44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4"/>
    <w:bookmarkStart w:id="45" w:name="rem-fdr-fwer"/>
    <w:p>
      <w:pPr>
        <w:pStyle w:val="BodyText"/>
      </w:pPr>
      <w:r>
        <w:rPr>
          <w:i/>
          <w:iCs/>
        </w:rPr>
        <w:t xml:space="preserve">Remark 2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5"/>
    <w:bookmarkEnd w:id="46"/>
    <w:bookmarkStart w:id="52" w:name="sec-valid-p-values"/>
    <w:p>
      <w:pPr>
        <w:pStyle w:val="Heading3"/>
      </w:pPr>
      <w:r>
        <w:t xml:space="preserve">3.4 Valid p-values</w:t>
      </w:r>
    </w:p>
    <w:bookmarkStart w:id="47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7"/>
    <w:bookmarkStart w:id="48" w:name="rem-valid-p-value-uniform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8"/>
    <w:bookmarkStart w:id="49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9"/>
    <w:bookmarkStart w:id="51" w:name="rem-valid-p-value-discrete"/>
    <w:p>
      <w:pPr>
        <w:pStyle w:val="BodyText"/>
      </w:pPr>
      <w:r>
        <w:rPr>
          <w:i/>
          <w:iCs/>
        </w:rPr>
        <w:t xml:space="preserve">Remark 4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50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1"/>
    <w:bookmarkEnd w:id="52"/>
    <w:bookmarkEnd w:id="53"/>
    <w:bookmarkStart w:id="79" w:name="sec-fwer-control"/>
    <w:p>
      <w:pPr>
        <w:pStyle w:val="Heading2"/>
      </w:pPr>
      <w:r>
        <w:t xml:space="preserve">4 Controlling the family-wise error rate</w:t>
      </w:r>
    </w:p>
    <w:bookmarkStart w:id="68" w:name="sec-bonferroni"/>
    <w:p>
      <w:pPr>
        <w:pStyle w:val="Heading3"/>
      </w:pPr>
      <w:r>
        <w:t xml:space="preserve">4.1 The Bonferroni correction</w:t>
      </w:r>
    </w:p>
    <w:bookmarkStart w:id="56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56"/>
    <w:bookmarkStart w:id="57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7"/>
    <w:bookmarkStart w:id="58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8"/>
    <w:bookmarkStart w:id="59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9"/>
    <w:bookmarkStart w:id="60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1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62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62"/>
    <w:bookmarkStart w:id="63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3"/>
    <w:bookmarkStart w:id="64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4"/>
    <w:bookmarkStart w:id="65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6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7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7"/>
    <w:bookmarkEnd w:id="68"/>
    <w:bookmarkStart w:id="78" w:name="sec-holm"/>
    <w:p>
      <w:pPr>
        <w:pStyle w:val="Heading3"/>
      </w:pPr>
      <w:r>
        <w:t xml:space="preserve">4.2 Holm’s step-down procedure</w:t>
      </w:r>
    </w:p>
    <w:bookmarkStart w:id="71" w:name="def-holm"/>
    <w:p>
      <w:pPr>
        <w:pStyle w:val="FirstParagraph"/>
      </w:pPr>
      <w:r>
        <w:rPr>
          <w:b/>
          <w:bCs/>
        </w:rPr>
        <w:t xml:space="preserve">Definition 9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Holm</w:t>
            </w:r>
            <w:r>
              <w:t xml:space="preserve"> </w:t>
            </w:r>
            <w:r>
              <w:t xml:space="preserve">(1979)</w:t>
            </w:r>
            <w:r>
              <w:t xml:space="preserve">.</w:t>
            </w:r>
          </w:p>
          <w:p/>
        </w:tc>
      </w:tr>
    </w:tbl>
    <w:bookmarkEnd w:id="71"/>
    <w:bookmarkStart w:id="72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72"/>
    <w:bookmarkStart w:id="73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3"/>
    <w:bookmarkStart w:id="74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4"/>
    <w:bookmarkStart w:id="75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6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7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7"/>
    <w:bookmarkEnd w:id="78"/>
    <w:bookmarkEnd w:id="79"/>
    <w:bookmarkStart w:id="91" w:name="sec-fdr-control"/>
    <w:p>
      <w:pPr>
        <w:pStyle w:val="Heading2"/>
      </w:pPr>
      <w:r>
        <w:t xml:space="preserve">5 Controlling the false discovery rate</w:t>
      </w:r>
    </w:p>
    <w:bookmarkStart w:id="90" w:name="sec-bh"/>
    <w:p>
      <w:pPr>
        <w:pStyle w:val="Heading3"/>
      </w:pPr>
      <w:r>
        <w:t xml:space="preserve">5.1 The Benjamini–Hochberg procedure</w:t>
      </w:r>
    </w:p>
    <w:bookmarkStart w:id="82" w:name="def-bh"/>
    <w:p>
      <w:pPr>
        <w:pStyle w:val="FirstParagraph"/>
      </w:pPr>
      <w:r>
        <w:rPr>
          <w:b/>
          <w:bCs/>
        </w:rPr>
        <w:t xml:space="preserve">Definition 10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.</w:t>
            </w:r>
          </w:p>
          <w:p/>
        </w:tc>
      </w:tr>
    </w:tbl>
    <w:bookmarkEnd w:id="82"/>
    <w:bookmarkStart w:id="83" w:name="rem-bh-step-up"/>
    <w:p>
      <w:pPr>
        <w:pStyle w:val="BodyText"/>
      </w:pPr>
      <w:r>
        <w:rPr>
          <w:i/>
          <w:iCs/>
        </w:rPr>
        <w:t xml:space="preserve">Remark 5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83"/>
    <w:bookmarkStart w:id="84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84"/>
    <w:bookmarkStart w:id="87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,</w:t>
            </w:r>
            <w:r>
              <w:t xml:space="preserve"> </w:t>
            </w:r>
            <w:r>
              <w:t xml:space="preserve">which proves the result for any configuration of false null hypotheses.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87"/>
    <w:bookmarkStart w:id="88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8"/>
    <w:bookmarkStart w:id="89" w:name="rem-bh-dependence"/>
    <w:p>
      <w:pPr>
        <w:pStyle w:val="BodyText"/>
      </w:pPr>
      <w:r>
        <w:rPr>
          <w:i/>
          <w:iCs/>
        </w:rPr>
        <w:t xml:space="preserve">Remark 6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9"/>
    <w:bookmarkEnd w:id="90"/>
    <w:bookmarkEnd w:id="91"/>
    <w:bookmarkStart w:id="96" w:name="sec-adjusted-p-values"/>
    <w:p>
      <w:pPr>
        <w:pStyle w:val="Heading2"/>
      </w:pPr>
      <w:r>
        <w:t xml:space="preserve">6 Adjusted p-values and q-values</w:t>
      </w:r>
    </w:p>
    <w:bookmarkStart w:id="92" w:name="def-adjusted-p-value"/>
    <w:p>
      <w:pPr>
        <w:pStyle w:val="FirstParagraph"/>
      </w:pPr>
      <w:r>
        <w:rPr>
          <w:b/>
          <w:bCs/>
        </w:rPr>
        <w:t xml:space="preserve">Definition 11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2"/>
    <w:bookmarkStart w:id="93" w:name="rem-adjusted-p-value-levels"/>
    <w:p>
      <w:pPr>
        <w:pStyle w:val="FirstParagraph"/>
      </w:pPr>
      <w:r>
        <w:rPr>
          <w:i/>
          <w:iCs/>
        </w:rPr>
        <w:t xml:space="preserve">Remark 7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93"/>
    <w:bookmarkStart w:id="94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94"/>
    <w:bookmarkStart w:id="95" w:name="rem-q-value"/>
    <w:p>
      <w:pPr>
        <w:pStyle w:val="BodyText"/>
      </w:pPr>
      <w:r>
        <w:rPr>
          <w:i/>
          <w:iCs/>
        </w:rPr>
        <w:t xml:space="preserve">Remark 8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95"/>
    <w:bookmarkEnd w:id="96"/>
    <w:bookmarkStart w:id="99" w:name="sec-procedure-comparison"/>
    <w:p>
      <w:pPr>
        <w:pStyle w:val="Heading2"/>
      </w:pPr>
      <w:r>
        <w:t xml:space="preserve">7 Comparing the procedures</w:t>
      </w:r>
    </w:p>
    <w:bookmarkStart w:id="97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7"/>
    <w:bookmarkStart w:id="98" w:name="rem-choosing-error-rate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8"/>
    <w:bookmarkEnd w:id="99"/>
    <w:bookmarkStart w:id="115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4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4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4"/>
        </w:numPr>
      </w:pPr>
      <w:r>
        <w:t xml:space="preserve">Andrew Lin’s</w:t>
      </w:r>
      <w:r>
        <w:t xml:space="preserve"> </w:t>
      </w:r>
      <w:hyperlink r:id="rId100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Start w:id="114" w:name="refs"/>
    <w:bookmarkStart w:id="102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101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102"/>
    <w:bookmarkStart w:id="104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103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104"/>
    <w:bookmarkStart w:id="106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5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6"/>
    <w:bookmarkStart w:id="107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7"/>
    <w:bookmarkStart w:id="109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8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9"/>
    <w:bookmarkStart w:id="111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10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11"/>
    <w:bookmarkStart w:id="113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12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13"/>
    <w:bookmarkEnd w:id="114"/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50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8" Target="https://doi.org/10.1007/978-1-0716-1418-1" TargetMode="External" /><Relationship Type="http://schemas.openxmlformats.org/officeDocument/2006/relationships/hyperlink" Id="rId105" Target="https://doi.org/10.1017/CBO9781316576533" TargetMode="External" /><Relationship Type="http://schemas.openxmlformats.org/officeDocument/2006/relationships/hyperlink" Id="rId110" Target="https://doi.org/10.1038/89044" TargetMode="External" /><Relationship Type="http://schemas.openxmlformats.org/officeDocument/2006/relationships/hyperlink" Id="rId112" Target="https://doi.org/10.1111/1467-9868.00346" TargetMode="External" /><Relationship Type="http://schemas.openxmlformats.org/officeDocument/2006/relationships/hyperlink" Id="rId101" Target="https://doi.org/10.1111/j.2517-6161.1995.tb02031.x" TargetMode="External" /><Relationship Type="http://schemas.openxmlformats.org/officeDocument/2006/relationships/hyperlink" Id="rId103" Target="https://doi.org/10.1214/aos/1013699998" TargetMode="External" /><Relationship Type="http://schemas.openxmlformats.org/officeDocument/2006/relationships/hyperlink" Id="rId100" Target="https://web.stanford.edu/~lindrew/stats300C.pdf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50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8" Target="https://doi.org/10.1007/978-1-0716-1418-1" TargetMode="External" /><Relationship Type="http://schemas.openxmlformats.org/officeDocument/2006/relationships/hyperlink" Id="rId105" Target="https://doi.org/10.1017/CBO9781316576533" TargetMode="External" /><Relationship Type="http://schemas.openxmlformats.org/officeDocument/2006/relationships/hyperlink" Id="rId110" Target="https://doi.org/10.1038/89044" TargetMode="External" /><Relationship Type="http://schemas.openxmlformats.org/officeDocument/2006/relationships/hyperlink" Id="rId112" Target="https://doi.org/10.1111/1467-9868.00346" TargetMode="External" /><Relationship Type="http://schemas.openxmlformats.org/officeDocument/2006/relationships/hyperlink" Id="rId101" Target="https://doi.org/10.1111/j.2517-6161.1995.tb02031.x" TargetMode="External" /><Relationship Type="http://schemas.openxmlformats.org/officeDocument/2006/relationships/hyperlink" Id="rId103" Target="https://doi.org/10.1214/aos/1013699998" TargetMode="External" /><Relationship Type="http://schemas.openxmlformats.org/officeDocument/2006/relationships/hyperlink" Id="rId100" Target="https://web.stanford.edu/~lindrew/stats300C.pdf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2026-10-14T21:05:42Z</dcterms:created>
  <dcterms:modified xsi:type="dcterms:W3CDTF">2026-10-14T21:05:42Z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13:52:56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