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2.png" ContentType="image/png"/>
  <Override PartName="/word/media/rId64.png" ContentType="image/png"/>
  <Override PartName="/word/media/rId70.png" ContentType="image/png"/>
  <Override PartName="/word/media/rId76.png" ContentType="image/png"/>
  <Override PartName="/word/media/rId83.png" ContentType="image/png"/>
  <Override PartName="/word/media/rId96.png" ContentType="image/png"/>
  <Override PartName="/word/media/rId100.png" ContentType="image/png"/>
  <Override PartName="/word/media/rId111.png" ContentType="image/png"/>
  <Override PartName="/word/media/rId115.png" ContentType="image/png"/>
  <Override PartName="/word/media/rId51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r>
        <w:t xml:space="preserve">Last modified: 2026-10-16 02:36:01 (PDT)</w:t>
      </w:r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(Vittinghoff et al. 2012, chap. 2)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(Rosenman et al. 1975)</w:t>
      </w:r>
      <w:r>
        <w:t xml:space="preserve">.</w:t>
      </w:r>
      <w:r>
        <w:t xml:space="preserve"> </w:t>
      </w:r>
      <w:r>
        <w:t xml:space="preserve">Vittinghoff et al. (2012, 9)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28"/>
    <w:bookmarkStart w:id="29" w:name="exm-sample-median"/>
    <w:p>
      <w:pPr>
        <w:pStyle w:val="FirstParagraph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31"/>
    <w:bookmarkStart w:id="32" w:name="def-sample-sd"/>
    <w:p>
      <w:pPr>
        <w:pStyle w:val="FirstParagraph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bookmarkEnd w:id="32"/>
    <w:bookmarkStart w:id="33" w:name="rem-sd-units"/>
    <w:p>
      <w:pPr>
        <w:pStyle w:val="FirstParagraph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bookmarkEnd w:id="39"/>
    <w:bookmarkStart w:id="40" w:name="exm-IQR"/>
    <w:p>
      <w:pPr>
        <w:pStyle w:val="FirstParagraph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(2019, sec. 6.1, pp. 233–244)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(2007, secs. 10.4–10.5, pp. 392–401)</w:t>
      </w:r>
      <w:r>
        <w:t xml:space="preserve"> </w:t>
      </w:r>
      <w:r>
        <w:t xml:space="preserve">covers measures of location and dispersion.</w:t>
      </w:r>
    </w:p>
    <w:bookmarkEnd w:id="47"/>
    <w:bookmarkEnd w:id="48"/>
    <w:bookmarkStart w:id="81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8" w:name="box-plots"/>
    <w:p>
      <w:pPr>
        <w:pStyle w:val="Heading3"/>
      </w:pPr>
      <w:r>
        <w:t xml:space="preserve">3.3 Box plots</w:t>
      </w:r>
    </w:p>
    <w:bookmarkStart w:id="62" w:name="def-boxplot"/>
    <w:p>
      <w:pPr>
        <w:pStyle w:val="FirstParagraph"/>
      </w:pPr>
      <w:r>
        <w:rPr>
          <w:b/>
          <w:bCs/>
        </w:rPr>
        <w:t xml:space="preserve">Definition 15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 continuous variable:</w:t>
      </w:r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bookmarkEnd w:id="62"/>
    <w:bookmarkStart w:id="63" w:name="rem-whisker-rul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7"/>
        </w:tc>
      </w:tr>
    </w:tbl>
    <w:bookmarkEnd w:id="68"/>
    <w:bookmarkStart w:id="74" w:name="bar-charts"/>
    <w:p>
      <w:pPr>
        <w:pStyle w:val="Heading3"/>
      </w:pPr>
      <w:r>
        <w:t xml:space="preserve">3.4 Bar charts</w:t>
      </w:r>
    </w:p>
    <w:bookmarkStart w:id="69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bookmarkEnd w:id="6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3"/>
        </w:tc>
      </w:tr>
    </w:tbl>
    <w:bookmarkEnd w:id="74"/>
    <w:bookmarkStart w:id="80" w:name="normal-quantile-quantile-plots"/>
    <w:p>
      <w:pPr>
        <w:pStyle w:val="Heading3"/>
      </w:pPr>
      <w:r>
        <w:t xml:space="preserve">3.5 Normal quantile-quantile plots</w:t>
      </w:r>
    </w:p>
    <w:bookmarkStart w:id="75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bookmarkEnd w:id="7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79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(2019, sec. 6.2, pp. 245–255)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(2007, sec. 10.2.3, pp. 385–388)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(2007, sec. 10.3, pp. 389–391)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(2007, sec. 10.6, pp. 402–403)</w:t>
      </w:r>
      <w:r>
        <w:t xml:space="preserve"> </w:t>
      </w:r>
      <w:r>
        <w:t xml:space="preserve">covers boxplots.</w:t>
      </w:r>
    </w:p>
    <w:bookmarkEnd w:id="80"/>
    <w:bookmarkEnd w:id="81"/>
    <w:bookmarkStart w:id="110" w:name="bivariate-relationships"/>
    <w:p>
      <w:pPr>
        <w:pStyle w:val="Heading2"/>
      </w:pPr>
      <w:r>
        <w:t xml:space="preserve">4 Bivariate relationships</w:t>
      </w:r>
    </w:p>
    <w:bookmarkStart w:id="95" w:name="two-continuous-variables"/>
    <w:p>
      <w:pPr>
        <w:pStyle w:val="Heading3"/>
      </w:pPr>
      <w:r>
        <w:t xml:space="preserve">4.1 Two continuous variables</w:t>
      </w:r>
    </w:p>
    <w:bookmarkStart w:id="82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bookmarkEnd w:id="8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6"/>
        </w:tc>
      </w:tr>
    </w:tbl>
    <w:bookmarkStart w:id="87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bookmarkEnd w:id="87"/>
    <w:bookmarkStart w:id="89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8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89"/>
    <w:bookmarkStart w:id="90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1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(2007, sec. 10.7, pp. 404–406)</w:t>
      </w:r>
      <w:r>
        <w:t xml:space="preserve"> </w:t>
      </w:r>
      <w:r>
        <w:t xml:space="preserve">covers scatterplots.</w:t>
      </w:r>
    </w:p>
    <w:bookmarkEnd w:id="95"/>
    <w:bookmarkStart w:id="105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9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3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4"/>
        </w:tc>
      </w:tr>
    </w:tbl>
    <w:bookmarkEnd w:id="105"/>
    <w:bookmarkStart w:id="109" w:name="two-categorical-variables"/>
    <w:p>
      <w:pPr>
        <w:pStyle w:val="Heading3"/>
      </w:pPr>
      <w:r>
        <w:t xml:space="preserve">4.3 Two categorical variables</w:t>
      </w:r>
    </w:p>
    <w:bookmarkStart w:id="106" w:name="def-contingency-table"/>
    <w:p>
      <w:pPr>
        <w:pStyle w:val="FirstParagraph"/>
      </w:pPr>
      <w:r>
        <w:rPr>
          <w:b/>
          <w:bCs/>
        </w:rPr>
        <w:t xml:space="preserve">Definition 20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 categorical variables: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bookmarkEnd w:id="106"/>
    <w:bookmarkStart w:id="108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7"/>
        </w:tc>
      </w:tr>
    </w:tbl>
    <w:bookmarkEnd w:id="108"/>
    <w:bookmarkEnd w:id="109"/>
    <w:bookmarkEnd w:id="110"/>
    <w:bookmarkStart w:id="132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19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4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8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1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19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1" w:name="sec-rescaling"/>
    <w:p>
      <w:pPr>
        <w:pStyle w:val="Heading3"/>
      </w:pPr>
      <w:r>
        <w:t xml:space="preserve">5.1 Rescaling a variable</w:t>
      </w:r>
    </w:p>
    <w:bookmarkStart w:id="120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20"/>
    <w:bookmarkStart w:id="121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1"/>
    <w:bookmarkStart w:id="122" w:name="def-standardization"/>
    <w:p>
      <w:pPr>
        <w:pStyle w:val="FirstParagraph"/>
      </w:pPr>
      <w:r>
        <w:rPr>
          <w:b/>
          <w:bCs/>
        </w:rPr>
        <w:t xml:space="preserve">Definition 21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bookmarkEnd w:id="122"/>
    <w:bookmarkStart w:id="123" w:name="rem-source-standardiza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(Source: Standardization). </w:t>
      </w:r>
      <w:r>
        <w:t xml:space="preserve">James et al. (2021, sec. 4.7.6, p. 183)</w:t>
      </w:r>
      <w:r>
        <w:t xml:space="preserve">.</w:t>
      </w:r>
      <w:r>
        <w:t xml:space="preserve"> </w:t>
      </w:r>
      <w:r>
        <w:t xml:space="preserve">Géron (2017, ch. 2)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(2021)</w:t>
      </w:r>
      <w:r>
        <w:t xml:space="preserve">.</w:t>
      </w:r>
    </w:p>
    <w:bookmarkEnd w:id="123"/>
    <w:bookmarkStart w:id="124" w:name="rem-standardization-units"/>
    <w:p>
      <w:pPr>
        <w:pStyle w:val="BodyText"/>
      </w:pPr>
      <w:r>
        <w:rPr>
          <w:i/>
          <w:iCs/>
        </w:rPr>
        <w:t xml:space="preserve">Remark 6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4"/>
    <w:bookmarkStart w:id="125" w:name="thm-standardized-mean-sd"/>
    <w:p>
      <w:pPr>
        <w:pStyle w:val="BodyText"/>
      </w:pPr>
      <w:r>
        <w:rPr>
          <w:b/>
          <w:bCs/>
        </w:rPr>
        <w:t xml:space="preserve">Theorem 2 (Standardized values have mean 0 and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26" w:name="rem-source-standardized-mean-sd"/>
    <w:p>
      <w:pPr>
        <w:pStyle w:val="BodyText"/>
      </w:pPr>
      <w:r>
        <w:rPr>
          <w:i/>
          <w:iCs/>
        </w:rPr>
        <w:t xml:space="preserve">Remark 7</w:t>
      </w:r>
      <w:r>
        <w:t xml:space="preserve"> (Source: Standardized values have mean 0 and standard deviation 1). </w:t>
      </w:r>
      <w:r>
        <w:t xml:space="preserve">Stated for the standardized Caravan variables in</w:t>
      </w:r>
      <w:r>
        <w:t xml:space="preserve"> </w:t>
      </w:r>
      <w:r>
        <w:t xml:space="preserve">James et al. (2021, sec. 4.7.6, p. 183)</w:t>
      </w:r>
      <w:r>
        <w:t xml:space="preserve">;</w:t>
      </w:r>
      <w:r>
        <w:t xml:space="preserve"> </w:t>
      </w:r>
      <w:r>
        <w:t xml:space="preserve">the proof is the elementary calculation.</w:t>
      </w:r>
    </w:p>
    <w:bookmarkEnd w:id="126"/>
    <w:bookmarkStart w:id="127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27"/>
    <w:bookmarkStart w:id="128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Géron (2017, ch. 2)</w:t>
      </w:r>
      <w:r>
        <w:t xml:space="preserve">.</w:t>
      </w:r>
    </w:p>
    <w:bookmarkEnd w:id="128"/>
    <w:bookmarkStart w:id="129" w:name="rem-min-max-outliers"/>
    <w:p>
      <w:pPr>
        <w:pStyle w:val="BodyText"/>
      </w:pPr>
      <w:r>
        <w:rPr>
          <w:i/>
          <w:iCs/>
        </w:rPr>
        <w:t xml:space="preserve">Remark 8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(Géron 2017, chap. 2,</w:t>
      </w:r>
      <w:r>
        <w:t xml:space="preserve"> </w:t>
      </w:r>
      <w:r>
        <w:t xml:space="preserve">“Feature Scaling”</w:t>
      </w:r>
      <w:r>
        <w:t xml:space="preserve">)</w:t>
      </w:r>
      <w:r>
        <w:t xml:space="preserve">.</w:t>
      </w:r>
    </w:p>
    <w:bookmarkEnd w:id="129"/>
    <w:bookmarkStart w:id="130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0"/>
    <w:bookmarkEnd w:id="131"/>
    <w:bookmarkEnd w:id="132"/>
    <w:bookmarkStart w:id="134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3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3"/>
        </w:tc>
      </w:tr>
    </w:tbl>
    <w:bookmarkEnd w:id="134"/>
    <w:bookmarkStart w:id="145" w:name="references"/>
    <w:p>
      <w:pPr>
        <w:pStyle w:val="Heading2"/>
      </w:pPr>
      <w:r>
        <w:t xml:space="preserve">References</w:t>
      </w:r>
    </w:p>
    <w:bookmarkStart w:id="144" w:name="refs"/>
    <w:bookmarkStart w:id="135" w:name="ref-geron2017hands"/>
    <w:p>
      <w:pPr>
        <w:pStyle w:val="Bibliography"/>
      </w:pPr>
      <w:r>
        <w:t xml:space="preserve">Géron, Aurélien. 2017.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. 1st ed. O’Reilly Media.</w:t>
      </w:r>
    </w:p>
    <w:bookmarkEnd w:id="135"/>
    <w:bookmarkStart w:id="136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36"/>
    <w:bookmarkStart w:id="138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37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38"/>
    <w:bookmarkStart w:id="13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39"/>
    <w:bookmarkStart w:id="141" w:name="ref-rosenman1975coronary"/>
    <w:p>
      <w:pPr>
        <w:pStyle w:val="Bibliography"/>
      </w:pPr>
      <w:r>
        <w:t xml:space="preserve">Rosenman, Ray H, Richard J Brand, C David Jenkins, Meyer Friedman, Reuben Straus, and Moses Wurm. 1975.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Years.”</w:t>
      </w:r>
      <w:r>
        <w:t xml:space="preserve"> </w:t>
      </w:r>
      <w:r>
        <w:rPr>
          <w:i/>
          <w:iCs/>
        </w:rPr>
        <w:t xml:space="preserve">JAMA</w:t>
      </w:r>
      <w:r>
        <w:t xml:space="preserve"> </w:t>
      </w:r>
      <w:r>
        <w:t xml:space="preserve">233 (8): 872–77.</w:t>
      </w:r>
      <w:r>
        <w:t xml:space="preserve"> </w:t>
      </w:r>
      <w:hyperlink r:id="rId140">
        <w:r>
          <w:rPr>
            <w:rStyle w:val="Hyperlink"/>
          </w:rPr>
          <w:t xml:space="preserve">https://doi.org/10.1001/jama.1975.03260080034016</w:t>
        </w:r>
      </w:hyperlink>
      <w:r>
        <w:t xml:space="preserve">.</w:t>
      </w:r>
    </w:p>
    <w:bookmarkEnd w:id="141"/>
    <w:bookmarkStart w:id="143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2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3"/>
    <w:bookmarkEnd w:id="144"/>
    <w:bookmarkEnd w:id="1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2" Target="media/rId92.png" /><Relationship Type="http://schemas.openxmlformats.org/officeDocument/2006/relationships/image" Id="rId64" Target="media/rId64.png" /><Relationship Type="http://schemas.openxmlformats.org/officeDocument/2006/relationships/image" Id="rId70" Target="media/rId70.png" /><Relationship Type="http://schemas.openxmlformats.org/officeDocument/2006/relationships/image" Id="rId76" Target="media/rId76.png" /><Relationship Type="http://schemas.openxmlformats.org/officeDocument/2006/relationships/image" Id="rId83" Target="media/rId83.png" /><Relationship Type="http://schemas.openxmlformats.org/officeDocument/2006/relationships/image" Id="rId96" Target="media/rId96.png" /><Relationship Type="http://schemas.openxmlformats.org/officeDocument/2006/relationships/image" Id="rId100" Target="media/rId100.png" /><Relationship Type="http://schemas.openxmlformats.org/officeDocument/2006/relationships/image" Id="rId111" Target="media/rId111.png" /><Relationship Type="http://schemas.openxmlformats.org/officeDocument/2006/relationships/image" Id="rId115" Target="media/rId115.png" /><Relationship Type="http://schemas.openxmlformats.org/officeDocument/2006/relationships/image" Id="rId51" Target="media/rId51.png" /><Relationship Type="http://schemas.openxmlformats.org/officeDocument/2006/relationships/image" Id="rId57" Target="media/rId57.png" /><Relationship Type="http://schemas.openxmlformats.org/officeDocument/2006/relationships/hyperlink" Id="rId88" Target="correlation-regression.qmd#def-population-correlation" TargetMode="External" /><Relationship Type="http://schemas.openxmlformats.org/officeDocument/2006/relationships/hyperlink" Id="rId140" Target="https://doi.org/10.1001/jama.1975.03260080034016" TargetMode="External" /><Relationship Type="http://schemas.openxmlformats.org/officeDocument/2006/relationships/hyperlink" Id="rId137" Target="https://doi.org/10.1007/978-1-0716-1418-1" TargetMode="External" /><Relationship Type="http://schemas.openxmlformats.org/officeDocument/2006/relationships/hyperlink" Id="rId142" Target="https://doi.org/10.1007/978-1-4614-1353-0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8" Target="correlation-regression.qmd#def-population-correlation" TargetMode="External" /><Relationship Type="http://schemas.openxmlformats.org/officeDocument/2006/relationships/hyperlink" Id="rId140" Target="https://doi.org/10.1001/jama.1975.03260080034016" TargetMode="External" /><Relationship Type="http://schemas.openxmlformats.org/officeDocument/2006/relationships/hyperlink" Id="rId137" Target="https://doi.org/10.1007/978-1-0716-1418-1" TargetMode="External" /><Relationship Type="http://schemas.openxmlformats.org/officeDocument/2006/relationships/hyperlink" Id="rId142" Target="https://doi.org/10.1007/978-1-4614-1353-0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2026-10-16T09:46:04Z</dcterms:created>
  <dcterms:modified xsi:type="dcterms:W3CDTF">2026-10-16T09:46:04Z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02:36:01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