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r>
        <w:t xml:space="preserve">Last modified: 2026-10-15 13:30:33 (PDT)</w:t>
      </w:r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1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p>
      <w:pPr>
        <w:pStyle w:val="Compact"/>
        <w:numPr>
          <w:ilvl w:val="0"/>
          <w:numId w:val="1001"/>
        </w:numPr>
      </w:pPr>
      <w:r>
        <w:t xml:space="preserve">Hogg et al. (2019, sec. 7.3, pp. 323–328)</w:t>
      </w:r>
      <w:r>
        <w:t xml:space="preserve"> </w:t>
      </w:r>
      <w:r>
        <w:t xml:space="preserve">covers confidence intervals for proportions.</w:t>
      </w:r>
    </w:p>
    <w:p>
      <w:pPr>
        <w:pStyle w:val="Compact"/>
        <w:numPr>
          <w:ilvl w:val="0"/>
          <w:numId w:val="1001"/>
        </w:numPr>
      </w:pPr>
      <w:r>
        <w:t xml:space="preserve">Hogg et al. (2019, sec. 8.4, pp. 385–391)</w:t>
      </w:r>
      <w:r>
        <w:t xml:space="preserve"> </w:t>
      </w:r>
      <w:r>
        <w:t xml:space="preserve">covers tests about proportions.</w:t>
      </w:r>
    </w:p>
    <w:bookmarkEnd w:id="15"/>
    <w:bookmarkStart w:id="24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bookmarkEnd w:id="16"/>
    <w:bookmarkStart w:id="17" w:name="exm-expected-count"/>
    <w:p>
      <w:pPr>
        <w:pStyle w:val="FirstParagraph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⋅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9" w:name="def-chi-square-test"/>
    <w:p>
      <w:pPr>
        <w:pStyle w:val="FirstParagraph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bookmarkEnd w:id="19"/>
    <w:bookmarkStart w:id="20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9.2, p. 440)</w:t>
      </w:r>
      <w:r>
        <w:t xml:space="preserve">.</w:t>
      </w:r>
    </w:p>
    <w:bookmarkEnd w:id="20"/>
    <w:bookmarkStart w:id="21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1"/>
    <w:bookmarkStart w:id="22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2"/>
    <w:bookmarkStart w:id="23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3"/>
    <w:p>
      <w:pPr>
        <w:pStyle w:val="Compact"/>
        <w:numPr>
          <w:ilvl w:val="0"/>
          <w:numId w:val="1002"/>
        </w:numPr>
      </w:pPr>
      <w:r>
        <w:t xml:space="preserve">Hogg et al. (2019, sec. 9.1, pp. 425–434)</w:t>
      </w:r>
      <w:r>
        <w:t xml:space="preserve"> </w:t>
      </w:r>
      <w:r>
        <w:t xml:space="preserve">covers chi-square goodness-of-fit tests.</w:t>
      </w:r>
    </w:p>
    <w:p>
      <w:pPr>
        <w:pStyle w:val="Compact"/>
        <w:numPr>
          <w:ilvl w:val="0"/>
          <w:numId w:val="1002"/>
        </w:numPr>
      </w:pPr>
      <w:r>
        <w:t xml:space="preserve">Hogg et al. (2019, sec. 9.2, pp. 435–445)</w:t>
      </w:r>
      <w:r>
        <w:t xml:space="preserve"> </w:t>
      </w:r>
      <w:r>
        <w:t xml:space="preserve">covers contingency tables.</w:t>
      </w:r>
    </w:p>
    <w:p>
      <w:pPr>
        <w:pStyle w:val="Compact"/>
        <w:numPr>
          <w:ilvl w:val="0"/>
          <w:numId w:val="1002"/>
        </w:numPr>
      </w:pPr>
      <w:r>
        <w:t xml:space="preserve">Rice (2007, sec. 13.3, pp. 516–519)</w:t>
      </w:r>
      <w:r>
        <w:t xml:space="preserve"> </w:t>
      </w:r>
      <w:r>
        <w:t xml:space="preserve">covers the chi-square test of homogeneity.</w:t>
      </w:r>
    </w:p>
    <w:p>
      <w:pPr>
        <w:pStyle w:val="Compact"/>
        <w:numPr>
          <w:ilvl w:val="0"/>
          <w:numId w:val="1002"/>
        </w:numPr>
      </w:pPr>
      <w:r>
        <w:t xml:space="preserve">Rice (2007, sec. 13.4, pp. 520–522)</w:t>
      </w:r>
      <w:r>
        <w:t xml:space="preserve"> </w:t>
      </w:r>
      <w:r>
        <w:t xml:space="preserve">covers the chi-square test of independence.</w:t>
      </w:r>
    </w:p>
    <w:p>
      <w:pPr>
        <w:pStyle w:val="Compact"/>
        <w:numPr>
          <w:ilvl w:val="0"/>
          <w:numId w:val="1002"/>
        </w:numPr>
      </w:pPr>
      <w:r>
        <w:t xml:space="preserve">Rice (2007, sec. 9.5, pp. 341–346)</w:t>
      </w:r>
      <w:r>
        <w:t xml:space="preserve"> </w:t>
      </w:r>
      <w:r>
        <w:t xml:space="preserve">covers likelihood ratio tests for the multinomial distribution.</w:t>
      </w:r>
    </w:p>
    <w:bookmarkEnd w:id="24"/>
    <w:bookmarkStart w:id="28" w:name="sec-fisher"/>
    <w:p>
      <w:pPr>
        <w:pStyle w:val="Heading3"/>
      </w:pPr>
      <w:r>
        <w:t xml:space="preserve">2.3 Fisher’s exact test</w:t>
      </w:r>
    </w:p>
    <w:bookmarkStart w:id="25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5"/>
    <w:bookmarkStart w:id="26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6"/>
    <w:bookmarkStart w:id="27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7"/>
    <w:p>
      <w:pPr>
        <w:pStyle w:val="BodyText"/>
      </w:pPr>
      <w:r>
        <w:t xml:space="preserve">Rice (2007, sec. 13.2, pp. 514–515)</w:t>
      </w:r>
      <w:r>
        <w:t xml:space="preserve"> </w:t>
      </w:r>
      <w:r>
        <w:t xml:space="preserve">covers Fisher’s exact test.</w:t>
      </w:r>
    </w:p>
    <w:bookmarkEnd w:id="28"/>
    <w:bookmarkStart w:id="30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Risk differences, risk ratios, and odds ratios measure the strength</w:t>
      </w:r>
      <w:r>
        <w:t xml:space="preserve"> </w:t>
      </w:r>
      <w:r>
        <w:t xml:space="preserve">of the association;</w:t>
      </w:r>
      <w:r>
        <w:t xml:space="preserve"> </w:t>
      </w:r>
      <w:r>
        <w:t xml:space="preserve">see</w:t>
      </w:r>
      <w:r>
        <w:t xml:space="preserve"> </w:t>
      </w:r>
      <w:hyperlink r:id="rId29">
        <w:r>
          <w:rPr>
            <w:rStyle w:val="Hyperlink"/>
          </w:rPr>
          <w:t xml:space="preserve">Odds Ratios and Relative Risks</w:t>
        </w:r>
      </w:hyperlink>
      <w:r>
        <w:t xml:space="preserve">.</w:t>
      </w:r>
    </w:p>
    <w:p>
      <w:pPr>
        <w:pStyle w:val="BodyText"/>
      </w:pPr>
      <w:r>
        <w:t xml:space="preserve">Rice (2007, sec. 13.6, pp. 526–529)</w:t>
      </w:r>
      <w:r>
        <w:t xml:space="preserve"> </w:t>
      </w:r>
      <w:r>
        <w:t xml:space="preserve">covers odds ratios.</w:t>
      </w:r>
    </w:p>
    <w:bookmarkEnd w:id="30"/>
    <w:bookmarkEnd w:id="31"/>
    <w:bookmarkStart w:id="37" w:name="references"/>
    <w:p>
      <w:pPr>
        <w:pStyle w:val="Heading2"/>
      </w:pPr>
      <w:r>
        <w:t xml:space="preserve">References</w:t>
      </w:r>
    </w:p>
    <w:bookmarkStart w:id="36" w:name="refs"/>
    <w:bookmarkStart w:id="32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2"/>
    <w:bookmarkStart w:id="33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33"/>
    <w:bookmarkStart w:id="35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4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5"/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4" Target="https://doi.org/10.1007/978-1-4614-1353-0" TargetMode="External" /><Relationship Type="http://schemas.openxmlformats.org/officeDocument/2006/relationships/hyperlink" Id="rId29" Target="https://morrison-lab.github.io/rme/chapters/binary-outcome-associations.html#sec-OR-RR" TargetMode="External" /><Relationship Type="http://schemas.openxmlformats.org/officeDocument/2006/relationships/hyperlink" Id="rId18" Target="inference.qmd#def-chi-square-dist" TargetMode="External" /><Relationship Type="http://schemas.openxmlformats.org/officeDocument/2006/relationships/hyperlink" Id="rId9" Target="inference.qmd#sec-reference-distribu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4" Target="https://doi.org/10.1007/978-1-4614-1353-0" TargetMode="External" /><Relationship Type="http://schemas.openxmlformats.org/officeDocument/2006/relationships/hyperlink" Id="rId29" Target="https://morrison-lab.github.io/rme/chapters/binary-outcome-associations.html#sec-OR-RR" TargetMode="External" /><Relationship Type="http://schemas.openxmlformats.org/officeDocument/2006/relationships/hyperlink" Id="rId18" Target="inference.qmd#def-chi-square-dist" TargetMode="External" /><Relationship Type="http://schemas.openxmlformats.org/officeDocument/2006/relationships/hyperlink" Id="rId9" Target="inference.qmd#sec-reference-distribu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2026-10-15T20:38:28Z</dcterms:created>
  <dcterms:modified xsi:type="dcterms:W3CDTF">2026-10-15T20:38:28Z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13:30:33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