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ins w:id="3" w:author="PR Preview" w:date="2026-01-01T00:00:00Z">
        <w:r>
          <w:rPr>
            <w:i/>
            <w:iCs/>
          </w:rPr>
          <w:t xml:space="preserve">Remark 3</w:t>
        </w:r>
      </w:ins>
      <w:ins w:id="4" w:author="PR Preview" w:date="2026-01-01T00:00:00Z">
        <w:r>
          <w:t xml:space="preserve"> (Source: Dummy variables). </w:t>
        </w:r>
      </w:ins>
      <w:ins w:id="5" w:author="PR Preview" w:date="2026-01-01T00:00:00Z">
        <w:r>
          <w:t xml:space="preserve">Dobson and Barnett (2018, sec. 2.4)</w:t>
        </w:r>
      </w:ins>
      <w:ins w:id="6" w:author="PR Preview" w:date="2026-01-01T00:00:00Z">
        <w:r>
          <w:t xml:space="preserve">.</w:t>
        </w:r>
      </w:ins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Remark 3</w:delText>
        </w:r>
      </w:del>
      <w:del w:id="8" w:author="PR Preview" w:date="2026-01-01T00:00:00Z">
        <w:r>
          <w:delText xml:space="preserve"> (Other ways to code dummy variables). </w:delText>
        </w:r>
      </w:del>
      <w:del w:id="9" w:author="PR Preview" w:date="2026-01-01T00:00:00Z">
        <w:r>
          <w:delText xml:space="preserve">There are other ways to construct dummy variables.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One is to use the values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</w:delText>
        </w:r>
      </w:del>
      <w:del w:id="15" w:author="PR Preview" w:date="2026-01-01T00:00:00Z">
        <w:r>
          <w:delText xml:space="preserve"> </w:delText>
        </w:r>
      </w:del>
      <m:oMath>
        <m:r>
          <m:t>1</m:t>
        </m:r>
      </m:oMath>
      <w:del w:id="16" w:author="PR Preview" w:date="2026-01-01T00:00:00Z">
        <w:r>
          <w:delText xml:space="preserve">: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for example,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“female”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</w:delText>
        </w:r>
      </w:del>
      <w:del w:id="26" w:author="PR Preview" w:date="2026-01-01T00:00:00Z">
        <w:r>
          <w:delText xml:space="preserve"> </w:delText>
        </w:r>
      </w:del>
      <m:oMath>
        <m:r>
          <m:t>1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for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“male”</w:delText>
        </w:r>
      </w:del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See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Dobson and Barnett (2018)</w:delText>
        </w:r>
      </w:del>
      <w:del w:id="36" w:author="PR Preview" w:date="2026-01-01T00:00:00Z">
        <w:r>
          <w:delText xml:space="preserve">, section 2.4, for details.</w:delText>
        </w:r>
      </w:del>
    </w:p>
    <w:p>
      <w:pPr>
        <w:pStyle w:val="BodyText"/>
      </w:pPr>
      <w:ins w:id="37" w:author="PR Preview" w:date="2026-01-01T00:00:00Z">
        <w:r>
          <w:rPr>
            <w:i/>
            <w:iCs/>
          </w:rPr>
          <w:t xml:space="preserve">Remark 4</w:t>
        </w:r>
      </w:ins>
      <w:ins w:id="38" w:author="PR Preview" w:date="2026-01-01T00:00:00Z">
        <w:r>
          <w:t xml:space="preserve"> (Other ways to code dummy variables). </w:t>
        </w:r>
      </w:ins>
      <w:ins w:id="39" w:author="PR Preview" w:date="2026-01-01T00:00:00Z">
        <w:r>
          <w:t xml:space="preserve">There are other ways to construct dummy variables.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One is to use the values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</w:t>
        </w:r>
      </w:ins>
      <w:ins w:id="45" w:author="PR Preview" w:date="2026-01-01T00:00:00Z">
        <w:r>
          <w:t xml:space="preserve"> </w:t>
        </w:r>
      </w:ins>
      <m:oMath>
        <m:r>
          <m:t>1</m:t>
        </m:r>
      </m:oMath>
      <w:ins w:id="46" w:author="PR Preview" w:date="2026-01-01T00:00:00Z">
        <w:r>
          <w:t xml:space="preserve">: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 example,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for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“female”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</w:t>
        </w:r>
      </w:ins>
      <w:ins w:id="56" w:author="PR Preview" w:date="2026-01-01T00:00:00Z">
        <w:r>
          <w:t xml:space="preserve"> </w:t>
        </w:r>
      </w:ins>
      <m:oMath>
        <m:r>
          <m:t>1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for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“male”</w:t>
        </w:r>
      </w:ins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See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Dobson and Barnett (2018)</w:t>
        </w:r>
      </w:ins>
      <w:ins w:id="66" w:author="PR Preview" w:date="2026-01-01T00:00:00Z">
        <w:r>
          <w:t xml:space="preserve">, section 2.4, for details.</w:t>
        </w:r>
      </w:ins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Example 11 (Indicator variables for chromosomal sex)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In</w:delText>
        </w:r>
      </w:del>
      <w:del w:id="70" w:author="PR Preview" w:date="2026-01-01T00:00:00Z">
        <w:r>
          <w:delText xml:space="preserve"> </w:delText>
        </w:r>
      </w:del>
      <w:hyperlink w:anchor="exm-dummy-sex">
        <w:del w:id="71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m:oMath>
        <m:r>
          <m:t>M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r>
          <m:t>F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are indicator variables: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each takes only the values 0 and 1.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A dummy variable that uses the values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</w:delText>
        </w:r>
      </w:del>
      <w:del w:id="86" w:author="PR Preview" w:date="2026-01-01T00:00:00Z">
        <w:r>
          <w:delText xml:space="preserve"> </w:delText>
        </w:r>
      </w:del>
      <m:oMath>
        <m:r>
          <m:t>1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(</w:delText>
        </w:r>
      </w:del>
      <w:hyperlink w:anchor="rem-dummy-other-codings">
        <w:del w:id="89" w:author="PR Preview" w:date="2026-01-01T00:00:00Z">
          <w:r>
            <w:rPr>
              <w:rStyle w:val="Hyperlink"/>
            </w:rPr>
            <w:delText xml:space="preserve">Remark 3</w:delText>
          </w:r>
        </w:del>
      </w:hyperlink>
      <w:del w:id="90" w:author="PR Preview" w:date="2026-01-01T00:00:00Z">
        <w:r>
          <w:delText xml:space="preserve">) is not an indicator variable.</w:delText>
        </w:r>
      </w:del>
    </w:p>
    <w:p>
      <w:pPr>
        <w:pStyle w:val="BodyText"/>
      </w:pPr>
      <w:ins w:id="91" w:author="PR Preview" w:date="2026-01-01T00:00:00Z">
        <w:r>
          <w:rPr>
            <w:i/>
            <w:iCs/>
          </w:rPr>
          <w:t xml:space="preserve">Remark 5</w:t>
        </w:r>
      </w:ins>
      <w:ins w:id="92" w:author="PR Preview" w:date="2026-01-01T00:00:00Z">
        <w:r>
          <w:t xml:space="preserve"> (Source: Indicator variable). </w:t>
        </w:r>
      </w:ins>
      <w:ins w:id="93" w:author="PR Preview" w:date="2026-01-01T00:00:00Z">
        <w:r>
          <w:t xml:space="preserve">Dobson and Barnett (2018, sec. 2.4)</w:t>
        </w:r>
      </w:ins>
      <w:ins w:id="94" w:author="PR Preview" w:date="2026-01-01T00:00:00Z">
        <w:r>
          <w:t xml:space="preserve">.</w:t>
        </w:r>
      </w:ins>
    </w:p>
    <w:bookmarkEnd w:id="37"/>
    <w:bookmarkStart w:id="38" w:name="exm-indicator-sex"/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Example 11 (Indicator variables for chromosomal sex)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In</w:t>
        </w:r>
      </w:ins>
      <w:ins w:id="98" w:author="PR Preview" w:date="2026-01-01T00:00:00Z">
        <w:r>
          <w:t xml:space="preserve"> </w:t>
        </w:r>
      </w:ins>
      <w:hyperlink w:anchor="exm-dummy-sex">
        <w:ins w:id="9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m:oMath>
        <m:r>
          <m:t>M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</w:t>
        </w:r>
      </w:ins>
      <w:ins w:id="104" w:author="PR Preview" w:date="2026-01-01T00:00:00Z">
        <w:r>
          <w:t xml:space="preserve"> </w:t>
        </w:r>
      </w:ins>
      <m:oMath>
        <m:r>
          <m:t>F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are indicator variables: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each takes only the values 0 and 1.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 dummy variable that uses the values</w:t>
        </w:r>
      </w:ins>
      <w:ins w:id="1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and</w:t>
        </w:r>
      </w:ins>
      <w:ins w:id="114" w:author="PR Preview" w:date="2026-01-01T00:00:00Z">
        <w:r>
          <w:t xml:space="preserve"> </w:t>
        </w:r>
      </w:ins>
      <m:oMath>
        <m:r>
          <m:t>1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</w:t>
        </w:r>
      </w:ins>
      <w:hyperlink w:anchor="rem-dummy-other-codings">
        <w:ins w:id="117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18" w:author="PR Preview" w:date="2026-01-01T00:00:00Z">
        <w:r>
          <w:t xml:space="preserve">) is not an indicator variable.</w:t>
        </w:r>
      </w:ins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ins w:id="119" w:author="PR Preview" w:date="2026-01-01T00:00:00Z">
        <w:r>
          <w:rPr>
            <w:i/>
            <w:iCs/>
          </w:rPr>
          <w:t xml:space="preserve">Remark 6</w:t>
        </w:r>
      </w:ins>
      <w:ins w:id="120" w:author="PR Preview" w:date="2026-01-01T00:00:00Z">
        <w:r>
          <w:t xml:space="preserve"> (Source: Reference level). </w:t>
        </w:r>
      </w:ins>
      <w:ins w:id="121" w:author="PR Preview" w:date="2026-01-01T00:00:00Z">
        <w:r>
          <w:t xml:space="preserve">Dobson and Barnett (2018, sec. 2.4)</w:t>
        </w:r>
      </w:ins>
      <w:ins w:id="122" w:author="PR Preview" w:date="2026-01-01T00:00:00Z">
        <w:r>
          <w:t xml:space="preserve">, who call this the corner point parameterization.</w:t>
        </w:r>
      </w:ins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del w:id="123" w:author="PR Preview" w:date="2026-01-01T00:00:00Z">
        <w:r>
          <w:rPr>
            <w:i/>
            <w:iCs/>
          </w:rPr>
          <w:delText xml:space="preserve">Remark 4</w:delText>
        </w:r>
      </w:del>
      <w:del w:id="124" w:author="PR Preview" w:date="2026-01-01T00:00:00Z">
        <w:r>
          <w:delText xml:space="preserve"> (Any category can be the reference level). </w:delText>
        </w:r>
      </w:del>
      <w:del w:id="125" w:author="PR Preview" w:date="2026-01-01T00:00:00Z">
        <w:r>
          <w:delText xml:space="preserve">The choice of reference level changes how we code the categories.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It does not change what the data say.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For example, in</w:delText>
        </w:r>
      </w:del>
      <w:del w:id="130" w:author="PR Preview" w:date="2026-01-01T00:00:00Z">
        <w:r>
          <w:delText xml:space="preserve"> </w:delText>
        </w:r>
      </w:del>
      <w:hyperlink w:anchor="exm-reference-level-sex">
        <w:del w:id="131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we could instead use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“male”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as the reference level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and the indicator variable</w:delText>
        </w:r>
      </w:del>
      <w:del w:id="141" w:author="PR Preview" w:date="2026-01-01T00:00:00Z">
        <w:r>
          <w:delText xml:space="preserve"> </w:delText>
        </w:r>
      </w:del>
      <m:oMath>
        <m:r>
          <m:t>F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for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“female”</w:delText>
        </w:r>
      </w:del>
      <w:del w:id="146" w:author="PR Preview" w:date="2026-01-01T00:00:00Z">
        <w:r>
          <w:delText xml:space="preserve">.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Both choices describe the same two groups.</w:delText>
        </w:r>
      </w:del>
    </w:p>
    <w:p>
      <w:pPr>
        <w:pStyle w:val="BodyText"/>
      </w:pPr>
      <w:ins w:id="149" w:author="PR Preview" w:date="2026-01-01T00:00:00Z">
        <w:r>
          <w:rPr>
            <w:i/>
            <w:iCs/>
          </w:rPr>
          <w:t xml:space="preserve">Remark 7</w:t>
        </w:r>
      </w:ins>
      <w:ins w:id="150" w:author="PR Preview" w:date="2026-01-01T00:00:00Z">
        <w:r>
          <w:t xml:space="preserve"> (Any category can be the reference level). </w:t>
        </w:r>
      </w:ins>
      <w:ins w:id="151" w:author="PR Preview" w:date="2026-01-01T00:00:00Z">
        <w:r>
          <w:t xml:space="preserve">The choice of reference level changes how we code the categories.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It does not change what the data say.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For example, in</w:t>
        </w:r>
      </w:ins>
      <w:ins w:id="156" w:author="PR Preview" w:date="2026-01-01T00:00:00Z">
        <w:r>
          <w:t xml:space="preserve"> </w:t>
        </w:r>
      </w:ins>
      <w:hyperlink w:anchor="exm-reference-level-sex">
        <w:ins w:id="157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we could instead use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“male”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as the reference level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 the indicator variable</w:t>
        </w:r>
      </w:ins>
      <w:ins w:id="167" w:author="PR Preview" w:date="2026-01-01T00:00:00Z">
        <w:r>
          <w:t xml:space="preserve"> </w:t>
        </w:r>
      </w:ins>
      <m:oMath>
        <m:r>
          <m:t>F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for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“female”</w:t>
        </w:r>
      </w:ins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Both choices describe the same two groups.</w:t>
        </w:r>
      </w:ins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2026-10-15T16:47:15Z</dcterms:created>
  <dcterms:modified xsi:type="dcterms:W3CDTF">2026-10-15T16:47:15Z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