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18:39:30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(Source: Dummy variables). </w:t>
      </w:r>
      <w:r>
        <w:t xml:space="preserve">Dobson and Barnett (2018, sec. 2.4)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r>
        <w:rPr>
          <w:i/>
          <w:iCs/>
        </w:rPr>
        <w:t xml:space="preserve">Remark 5</w:t>
      </w:r>
      <w:r>
        <w:t xml:space="preserve"> (Source: Indicator variable). </w:t>
      </w:r>
      <w:r>
        <w:t xml:space="preserve">Dobson and Barnett (2018, sec. 2.4)</w:t>
      </w:r>
      <w:r>
        <w:t xml:space="preserve">.</w:t>
      </w:r>
    </w:p>
    <w:bookmarkEnd w:id="37"/>
    <w:bookmarkStart w:id="38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r>
        <w:rPr>
          <w:i/>
          <w:iCs/>
        </w:rPr>
        <w:t xml:space="preserve">Remark 6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r>
        <w:rPr>
          <w:i/>
          <w:iCs/>
        </w:rPr>
        <w:t xml:space="preserve">Remark 7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2026-10-16T01:46:40Z</dcterms:created>
  <dcterms:modified xsi:type="dcterms:W3CDTF">2026-10-16T01:46:40Z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