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2026-10-17 02:45:12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(2002, Def. 10.1.1)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5"/>
    <w:bookmarkStart w:id="36" w:name="rem-source-relative-efficiency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(2002)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(2002, sec. 10.1, pp. 467–480)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(Rao 1945; Cramér 1946; Casella and Berger 2002, Thm. 7.3.9, p. 335)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(2002, sec. 7.3.2)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(2002, sec. 7.3.2, pp. 334–341)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(2007, sec. 8.7, pp. 298–304)</w:t>
      </w:r>
      <w:r>
        <w:t xml:space="preserve"> </w:t>
      </w:r>
      <w:r>
        <w:t xml:space="preserve">covers efficiency and the Cramér–Rao lower bound.</w:t>
      </w:r>
    </w:p>
    <w:bookmarkEnd w:id="64"/>
    <w:bookmarkStart w:id="74" w:name="references"/>
    <w:p>
      <w:pPr>
        <w:pStyle w:val="Heading2"/>
      </w:pPr>
      <w:r>
        <w:t xml:space="preserve">References</w:t>
      </w:r>
    </w:p>
    <w:bookmarkStart w:id="73" w:name="refs"/>
    <w:bookmarkStart w:id="6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6"/>
    <w:bookmarkStart w:id="68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67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68"/>
    <w:bookmarkStart w:id="6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1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1"/>
    <w:bookmarkStart w:id="7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67" Target="https://doi.org/10.1515/9781400883868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5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2026-10-17T10:01:59Z</dcterms:created>
  <dcterms:modified xsi:type="dcterms:W3CDTF">2026-10-17T10:01:59Z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