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2026-10-17 02:34:28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02:45:12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from.</w:t>
      </w:r>
    </w:p>
    <w:bookmarkStart w:id="11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 independent and that</w:t>
      </w:r>
    </w:p>
    <w:p>
      <w:pPr>
        <w:pStyle w:val="BodyText"/>
      </w:pPr>
      <w:bookmarkStart w:id="10" w:name="eq-logistic-model"/>
      <w:r>
        <w:t xml:space="preserve">$$
    \Pr\mathopen{}\left(Y_i= 1 \mid \mathord{\smash[b]{\underset{\raise.3ex\hbox{$\scriptstyle\sim$}}{x}}\vphantom{x}}_i\right)\mathclose{} = \pi_i
    = \sigma\mathopen{}\left(\mathord{\smash[b]{\underset{\raise.3ex\hbox{$\scriptstyle\sim$}}{\beta}}\vphantom{\beta}} \cdot \mathord{\smash[b]{\underset{\raise.3ex\hbox{$\scriptstyle\sim$}}{x}}\vphantom{x}}_i\right)\mathclose{},
    \qquad
    \sigma\mathopen{}\left(u\right)\mathclose{} = \frac{1}{1 + e^{-u}},
     \qquad(1)$$</w:t>
      </w:r>
      <w:bookmarkEnd w:id="10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bookmarkEnd w:id="11"/>
    <w:bookmarkStart w:id="12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2"/>
    <w:bookmarkEnd w:id="13"/>
    <w:bookmarkStart w:id="31" w:name="deviance"/>
    <w:p>
      <w:pPr>
        <w:pStyle w:val="Heading2"/>
      </w:pPr>
      <w:r>
        <w:t xml:space="preserve">2 Deviance</w:t>
      </w:r>
    </w:p>
    <w:bookmarkStart w:id="15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4" w:name="eq-deviance"/>
      <w:r>
        <w:t xml:space="preserve">$$
    D\stackrel{\text{def}}{=}-2 \, \ell\mathopen{}\left(\hat{\mathord{\smash[b]{\underset{\raise.3ex\hbox{$\scriptstyle\sim$}}{\beta}}\vphantom{\beta}}}\right)\mathclose{}
    = -2 \sum_{i=1}^n\mathopen{}\left\{y_i\ln \hat\pi_i + \mathopen{}\left(1 - y_i\right)\mathclose{} \ln\mathopen{}\left(1 - \hat\pi_i\right)\mathclose{}\right\}\mathclose{},
     \qquad(2)$$</w:t>
      </w:r>
      <w:bookmarkEnd w:id="14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\sigma\mathopen{}\left(\hat{\mathord{\smash[b]{\underset{\raise.3ex\hbox{$\scriptstyle\sim$}}{\beta}}\vphantom{\beta}}} \cdot \mathord{\smash[b]{\underset{\raise.3ex\hbox{$\scriptstyle\sim$}}{x}}\vphantom{x}}_i\right)\mathclose{}$</w:t>
      </w:r>
      <w:r>
        <w:t xml:space="preserve"> </w:t>
      </w:r>
      <w:r>
        <w:t xml:space="preserve">is the fitted probability.</w:t>
      </w:r>
    </w:p>
    <w:bookmarkEnd w:id="15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(1972)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(2009, sec. 4.4.2)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19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19"/>
    <w:bookmarkStart w:id="20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0"/>
    <w:bookmarkStart w:id="22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1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1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2"/>
    <w:bookmarkStart w:id="23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3"/>
    <w:bookmarkStart w:id="24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4"/>
    <w:bookmarkStart w:id="26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5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7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7"/>
    <w:bookmarkStart w:id="29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8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0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0"/>
    <w:bookmarkEnd w:id="31"/>
    <w:bookmarkStart w:id="53" w:name="X6921c8acb91e896e6cca408a54c848bac546047"/>
    <w:p>
      <w:pPr>
        <w:pStyle w:val="Heading2"/>
      </w:pPr>
      <w:r>
        <w:t xml:space="preserve">3 Covariate patterns and the saturated model</w:t>
      </w:r>
    </w:p>
    <w:bookmarkStart w:id="32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2"/>
    <w:bookmarkStart w:id="33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6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6"/>
    <w:bookmarkStart w:id="37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7"/>
    <w:bookmarkStart w:id="39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(Dobson and Barnett 2018, sec. 5.5)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(Dobson and Barnett 2018, sec. 5.5)</w:t>
      </w:r>
      <w:r>
        <w:t xml:space="preserve">) for binary outcomes gives each pattern its own free event probability:</w:t>
      </w:r>
    </w:p>
    <w:p>
      <w:pPr>
        <w:pStyle w:val="BodyText"/>
      </w:pPr>
      <w:bookmarkStart w:id="38" w:name="eq-saturated-model"/>
      <w:r>
        <w:t xml:space="preserve">$$
    \Pr\mathopen{}\left(Y_i= 1 \mid \mathord{\smash[b]{\underset{\raise.3ex\hbox{$\scriptstyle\sim$}}{x}}\vphantom{x}}_i= \mathord{\smash[b]{\underset{\raise.3ex\hbox{$\scriptstyle\sim$}}{x}}\vphantom{x}}^{(k)}\right)\mathclose{} = \pi_k,
    \qquad k = 1, \dots, K,
     \qquad(4)$$</w:t>
      </w:r>
      <w:bookmarkEnd w:id="38"/>
    </w:p>
    <w:p>
      <w:pPr>
        <w:pStyle w:val="FirstParagraph"/>
      </w:pPr>
      <w:r>
        <w:t xml:space="preserve">with the outcomes independent given the predictors.</w:t>
      </w:r>
    </w:p>
    <w:bookmarkEnd w:id="39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5.5)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(Dobson and Barnett 2018, sec. 6.3)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2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 log-likelihood 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4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$\ell\mathopen{}\left(\hat{\mathord{\smash[b]{\underset{\raise.3ex\hbox{$\scriptstyle\sim$}}{\beta}}\vphantom{\beta}}}\right)\mathclose{}$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3" w:name="eq-saturated-deviance"/>
      <w:r>
        <w:t xml:space="preserve">$$
    D_{\mathrm{sat}}= 2 \mathopen{}\left(\ell_{\mathrm{sat}}- \ell\mathopen{}\left(\hat{\mathord{\smash[b]{\underset{\raise.3ex\hbox{$\scriptstyle\sim$}}{\beta}}\vphantom{\beta}}}\right)\mathclose{}\right)\mathclose{}.
     \qquad(5)$$</w:t>
      </w:r>
      <w:bookmarkEnd w:id="43"/>
    </w:p>
    <w:bookmarkEnd w:id="44"/>
    <w:bookmarkStart w:id="46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5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 fitted model’s log-likelihood is</w:t>
      </w:r>
      <w:r>
        <w:t xml:space="preserve"> </w:t>
      </w:r>
      <w:r>
        <w:t xml:space="preserve">$\ell\mathopen{}\left(\hat{\mathord{\smash[b]{\underset{\raise.3ex\hbox{$\scriptstyle\sim$}}{\beta}}\vphantom{\beta}}}\right)\mathclose{} = \sum_{k=1}^{K}\mathopen{}\left\{s_k \ln \hat\pi_k + \mathopen{}\left(m_k - s_k\right)\mathclose{} \ln\mathopen{}\left(1 - \hat\pi_k\right)\mathclose{}\right\}\mathclose{}$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(2018, sec. 5.6.1)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49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\ell\mathopen{}\left(\hat{\mathord{\smash[b]{\underset{\raise.3ex\hbox{$\scriptstyle\sim$}}{\beta}}\vphantom{\beta}}}\right)\mathclose{}$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\ell\mathopen{}\left(\hat{\mathord{\smash[b]{\underset{\raise.3ex\hbox{$\scriptstyle\sim$}}{\beta}}\vphantom{\beta}}}\right)\mathclose{}$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0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0"/>
    <w:bookmarkStart w:id="51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1"/>
    <w:bookmarkStart w:id="52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2"/>
    <w:bookmarkEnd w:id="53"/>
    <w:bookmarkStart w:id="62" w:name="X840099c27253be6d59b8623dccfe2e383b0f72c"/>
    <w:p>
      <w:pPr>
        <w:pStyle w:val="Heading2"/>
      </w:pPr>
      <w:r>
        <w:t xml:space="preserve">4 Confidence intervals for the coefficients</w:t>
      </w:r>
    </w:p>
    <w:bookmarkStart w:id="55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4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56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(2009, sec. 4.4.3)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(1985)</w:t>
      </w:r>
      <w:r>
        <w:t xml:space="preserve"> </w:t>
      </w:r>
      <w:r>
        <w:t xml:space="preserve">give.</w:t>
      </w:r>
    </w:p>
    <w:bookmarkStart w:id="58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57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8"/>
    <w:bookmarkStart w:id="59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59"/>
    <w:bookmarkStart w:id="60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1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1"/>
    <w:bookmarkEnd w:id="62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64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3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4"/>
    <w:bookmarkStart w:id="66" w:name="ref-fahrmeir1985consistency"/>
    <w:p>
      <w:pPr>
        <w:pStyle w:val="Bibliography"/>
      </w:pPr>
      <w:r>
        <w:t xml:space="preserve">Fahrmeir, Ludwig, and Heinz Kaufmann. 1985.</w:t>
      </w:r>
      <w:r>
        <w:t xml:space="preserve"> </w:t>
      </w:r>
      <w:r>
        <w:t xml:space="preserve">“Consistency and Asymptotic Normality of the Maximum Likelihood Estimator in Generalized Linear Models.”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13 (1): 342–68.</w:t>
      </w:r>
      <w:r>
        <w:t xml:space="preserve"> </w:t>
      </w:r>
      <w:hyperlink r:id="rId65">
        <w:r>
          <w:rPr>
            <w:rStyle w:val="Hyperlink"/>
          </w:rPr>
          <w:t xml:space="preserve">https://doi.org/10.1214/aos/1176346597</w:t>
        </w:r>
      </w:hyperlink>
      <w:r>
        <w:t xml:space="preserve">.</w:t>
      </w:r>
    </w:p>
    <w:bookmarkEnd w:id="66"/>
    <w:bookmarkStart w:id="68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67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68"/>
    <w:bookmarkStart w:id="69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69"/>
    <w:bookmarkStart w:id="71" w:name="ref-nelder1972generalized"/>
    <w:p>
      <w:pPr>
        <w:pStyle w:val="Bibliography"/>
      </w:pPr>
      <w:r>
        <w:t xml:space="preserve">Nelder, John A., and Robert W. M. Wedderburn. 1972.</w:t>
      </w:r>
      <w:r>
        <w:t xml:space="preserve"> </w:t>
      </w:r>
      <w:r>
        <w:t xml:space="preserve">“Generalized Linear Models.”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 </w:t>
      </w:r>
      <w:r>
        <w:t xml:space="preserve">135 (3): 370–84.</w:t>
      </w:r>
      <w:r>
        <w:t xml:space="preserve"> </w:t>
      </w:r>
      <w:hyperlink r:id="rId70">
        <w:r>
          <w:rPr>
            <w:rStyle w:val="Hyperlink"/>
          </w:rPr>
          <w:t xml:space="preserve">https://doi.org/10.2307/2344614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image" Target="media/rId16.png"/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_rels/footnotes.xml.rels><?xml version='1.0' encoding='UTF-8' standalone='yes'?>
<Relationships xmlns="http://schemas.openxmlformats.org/package/2006/relationships"><Relationship Id="rId67" Type="http://schemas.openxmlformats.org/officeDocument/2006/relationships/hyperlink" Target="https://doi.org/10.1007/978-0-387-84858-7" TargetMode="External"/><Relationship Id="rId63" Type="http://schemas.openxmlformats.org/officeDocument/2006/relationships/hyperlink" Target="https://doi.org/10.1201/9781315182780" TargetMode="External"/><Relationship Id="rId65" Type="http://schemas.openxmlformats.org/officeDocument/2006/relationships/hyperlink" Target="https://doi.org/10.1214/aos/1176346597" TargetMode="External"/><Relationship Id="rId70" Type="http://schemas.openxmlformats.org/officeDocument/2006/relationships/hyperlink" Target="https://doi.org/10.2307/2344614" TargetMode="External"/><Relationship Id="rId25" Type="http://schemas.openxmlformats.org/officeDocument/2006/relationships/hyperlink" Target="intro-MLEs.qmd#def-lrt-stat" TargetMode="External"/><Relationship Id="rId57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56" Type="http://schemas.openxmlformats.org/officeDocument/2006/relationships/hyperlink" Target="intro-MLEs.qmd#thm-dist-mle" TargetMode="External"/><Relationship Id="rId28" Type="http://schemas.openxmlformats.org/officeDocument/2006/relationships/hyperlink" Target="intro-MLEs.qmd#thm-wilk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2026-10-17T10:04:19Z</dcterms:created>
  <dcterms:modified xsi:type="dcterms:W3CDTF">2026-10-17T10:04:19Z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02:45:12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