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9.png" ContentType="image/png"/>
  <Override PartName="/word/media/rId9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Local Models and Offline Agents</w:t>
      </w:r>
    </w:p>
    <w:p>
      <w:pPr>
        <w:pStyle w:val="Date"/>
      </w:pPr>
      <w:r>
        <w:t xml:space="preserve">Last modified: 2026-09-28 23:45:28 (PDT)</w:t>
      </w:r>
    </w:p>
    <w:p>
      <w:pPr>
        <w:pStyle w:val="FirstParagraph"/>
      </w:pPr>
      <w:r>
        <w:t xml:space="preserve">Cloud model providers offer state-of-the-art capability,</w:t>
      </w:r>
      <w:r>
        <w:t xml:space="preserve"> </w:t>
      </w:r>
      <w:r>
        <w:t xml:space="preserve">but privacy constraints, HIPAA data handling, air-gapped environments,</w:t>
      </w:r>
      <w:r>
        <w:t xml:space="preserve"> </w:t>
      </w:r>
      <w:r>
        <w:t xml:space="preserve">and cost considerations often require running models locally or offline.</w:t>
      </w:r>
      <w:r>
        <w:t xml:space="preserve"> </w:t>
      </w:r>
      <w:r>
        <w:t xml:space="preserve">This chapter covers running coding agents without outside network calls,</w:t>
      </w:r>
      <w:r>
        <w:t xml:space="preserve"> </w:t>
      </w:r>
      <w:r>
        <w:t xml:space="preserve">connecting open harnesses to local Ollama and OpenRouter endpoints,</w:t>
      </w:r>
      <w:r>
        <w:t xml:space="preserve"> </w:t>
      </w:r>
      <w:r>
        <w:t xml:space="preserve">steering Claude Code with non-Anthropic models,</w:t>
      </w:r>
      <w:r>
        <w:t xml:space="preserve"> </w:t>
      </w:r>
      <w:r>
        <w:t xml:space="preserve">and evaluating small local models for autonomous coding loops.</w:t>
      </w:r>
    </w:p>
    <w:bookmarkStart w:id="61" w:name="sec-ai-offline"/>
    <w:p>
      <w:pPr>
        <w:pStyle w:val="Heading1"/>
      </w:pPr>
      <w:r>
        <w:t xml:space="preserve">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2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2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7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2"/>
    <w:bookmarkStart w:id="25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3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4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0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0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5"/>
    <w:bookmarkStart w:id="27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0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0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0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7"/>
    <w:bookmarkStart w:id="3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8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34"/>
    <w:bookmarkStart w:id="35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0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0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04"/>
        </w:numPr>
      </w:pPr>
      <w:r>
        <w:t xml:space="preserve">Speech-to-text voice input support</w:t>
      </w:r>
    </w:p>
    <w:bookmarkEnd w:id="35"/>
    <w:bookmarkStart w:id="38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38"/>
    <w:bookmarkStart w:id="42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42"/>
    <w:bookmarkStart w:id="48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43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48"/>
    <w:bookmarkStart w:id="56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0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56"/>
    <w:bookmarkStart w:id="5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0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0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0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59"/>
    <w:bookmarkStart w:id="60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60"/>
    <w:bookmarkEnd w:id="61"/>
    <w:bookmarkStart w:id="73" w:name="sec-ai-aeris-and-graft"/>
    <w:p>
      <w:pPr>
        <w:pStyle w:val="Heading1"/>
      </w:pPr>
      <w:r>
        <w:t xml:space="preserve">2.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62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67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63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0"/>
        </w:numPr>
      </w:pPr>
      <w:r>
        <w:t xml:space="preserve">GPL-3.0 license</w:t>
      </w:r>
    </w:p>
    <w:p>
      <w:pPr>
        <w:pStyle w:val="Compact"/>
        <w:numPr>
          <w:ilvl w:val="0"/>
          <w:numId w:val="1010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10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10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66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66"/>
    <w:bookmarkEnd w:id="67"/>
    <w:bookmarkStart w:id="72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68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1"/>
        </w:numPr>
      </w:pPr>
      <w:r>
        <w:t xml:space="preserve">MIT license</w:t>
      </w:r>
    </w:p>
    <w:p>
      <w:pPr>
        <w:pStyle w:val="Compact"/>
        <w:numPr>
          <w:ilvl w:val="0"/>
          <w:numId w:val="1011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11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11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13"/>
        </w:numPr>
      </w:pPr>
      <w:r>
        <w:t xml:space="preserve">OpenAI</w:t>
      </w:r>
    </w:p>
    <w:p>
      <w:pPr>
        <w:pStyle w:val="Compact"/>
        <w:numPr>
          <w:ilvl w:val="1"/>
          <w:numId w:val="1013"/>
        </w:numPr>
      </w:pPr>
      <w:r>
        <w:t xml:space="preserve">Anthropic</w:t>
      </w:r>
    </w:p>
    <w:p>
      <w:pPr>
        <w:pStyle w:val="Compact"/>
        <w:numPr>
          <w:ilvl w:val="1"/>
          <w:numId w:val="1013"/>
        </w:numPr>
      </w:pPr>
      <w:r>
        <w:t xml:space="preserve">OpenRouter</w:t>
      </w:r>
    </w:p>
    <w:p>
      <w:pPr>
        <w:pStyle w:val="Compact"/>
        <w:numPr>
          <w:ilvl w:val="1"/>
          <w:numId w:val="1013"/>
        </w:numPr>
      </w:pPr>
      <w:r>
        <w:t xml:space="preserve">a LiteLLM proxy</w:t>
      </w:r>
    </w:p>
    <w:p>
      <w:pPr>
        <w:pStyle w:val="Compact"/>
        <w:numPr>
          <w:ilvl w:val="1"/>
          <w:numId w:val="1013"/>
        </w:numPr>
      </w:pPr>
      <w:r>
        <w:t xml:space="preserve">a local server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Codex</w:t>
      </w:r>
    </w:p>
    <w:p>
      <w:pPr>
        <w:pStyle w:val="Compact"/>
        <w:numPr>
          <w:ilvl w:val="1"/>
          <w:numId w:val="1014"/>
        </w:numPr>
      </w:pPr>
      <w:r>
        <w:t xml:space="preserve">OpenCode</w:t>
      </w:r>
    </w:p>
    <w:p>
      <w:pPr>
        <w:pStyle w:val="Compact"/>
        <w:numPr>
          <w:ilvl w:val="1"/>
          <w:numId w:val="1014"/>
        </w:numPr>
      </w:pPr>
      <w:r>
        <w:t xml:space="preserve">Gemini CLI</w:t>
      </w:r>
    </w:p>
    <w:p>
      <w:pPr>
        <w:pStyle w:val="Compact"/>
        <w:numPr>
          <w:ilvl w:val="1"/>
          <w:numId w:val="1014"/>
        </w:numPr>
      </w:pPr>
      <w:r>
        <w:t xml:space="preserve">Copilot</w:t>
      </w:r>
    </w:p>
    <w:p>
      <w:pPr>
        <w:pStyle w:val="Compact"/>
        <w:numPr>
          <w:ilvl w:val="1"/>
          <w:numId w:val="1014"/>
        </w:numPr>
      </w:pPr>
      <w:r>
        <w:t xml:space="preserve">Cursor</w:t>
      </w:r>
    </w:p>
    <w:p>
      <w:pPr>
        <w:pStyle w:val="Compact"/>
        <w:numPr>
          <w:ilvl w:val="1"/>
          <w:numId w:val="1014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12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12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71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15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15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r:id="rId69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r:id="rId70">
        <w:r>
          <w:rPr>
            <w:rStyle w:val="Hyperlink"/>
          </w:rPr>
          <w:t xml:space="preserve">Magic Context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71"/>
    <w:bookmarkEnd w:id="72"/>
    <w:bookmarkEnd w:id="73"/>
    <w:bookmarkStart w:id="79" w:name="sec-ai-opencode-ollama"/>
    <w:p>
      <w:pPr>
        <w:pStyle w:val="Heading1"/>
      </w:pPr>
      <w:r>
        <w:t xml:space="preserve">3. Connecting OpenCode to Local Models</w:t>
      </w:r>
    </w:p>
    <w:p>
      <w:pPr>
        <w:pStyle w:val="FirstParagraph"/>
      </w:pPr>
      <w:hyperlink r:id="rId74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75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78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79"/>
    <w:bookmarkStart w:id="84" w:name="sec-ai-opencode-openrouter"/>
    <w:p>
      <w:pPr>
        <w:pStyle w:val="Heading1"/>
      </w:pPr>
      <w:r>
        <w:t xml:space="preserve">4. Connecting OpenCode to OpenRouter</w:t>
      </w:r>
    </w:p>
    <w:p>
      <w:pPr>
        <w:pStyle w:val="FirstParagraph"/>
      </w:pPr>
      <w:hyperlink r:id="rId80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3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16"/>
        </w:numPr>
      </w:pPr>
      <w:r>
        <w:t xml:space="preserve">Create a key at</w:t>
      </w:r>
      <w:r>
        <w:t xml:space="preserve"> </w:t>
      </w:r>
      <w:hyperlink r:id="rId81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82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16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17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84"/>
    <w:bookmarkStart w:id="115" w:name="sec-ai-claude-code-other-models"/>
    <w:p>
      <w:pPr>
        <w:pStyle w:val="Heading1"/>
      </w:pPr>
      <w:r>
        <w:t xml:space="preserve">5.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18"/>
        </w:numPr>
      </w:pPr>
      <w:r>
        <w:t xml:space="preserve">the mechanism</w:t>
      </w:r>
    </w:p>
    <w:p>
      <w:pPr>
        <w:pStyle w:val="Compact"/>
        <w:numPr>
          <w:ilvl w:val="0"/>
          <w:numId w:val="1018"/>
        </w:numPr>
      </w:pPr>
      <w:r>
        <w:t xml:space="preserve">the routes people use</w:t>
      </w:r>
    </w:p>
    <w:p>
      <w:pPr>
        <w:pStyle w:val="Compact"/>
        <w:numPr>
          <w:ilvl w:val="0"/>
          <w:numId w:val="1018"/>
        </w:numPr>
      </w:pPr>
      <w:r>
        <w:t xml:space="preserve">what breaks</w:t>
      </w:r>
    </w:p>
    <w:p>
      <w:pPr>
        <w:pStyle w:val="Compact"/>
        <w:numPr>
          <w:ilvl w:val="0"/>
          <w:numId w:val="1018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93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87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19"/>
        </w:numPr>
      </w:pPr>
      <w:hyperlink r:id="rId90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1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2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93"/>
    <w:bookmarkStart w:id="97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94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5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96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97"/>
    <w:bookmarkStart w:id="106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98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99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100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101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43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102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103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104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106"/>
    <w:bookmarkStart w:id="109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107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109"/>
    <w:bookmarkStart w:id="110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23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23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110"/>
    <w:bookmarkStart w:id="11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4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1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24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24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24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114"/>
    <w:bookmarkEnd w:id="115"/>
    <w:bookmarkStart w:id="156" w:name="sec-ai-small-local-models"/>
    <w:p>
      <w:pPr>
        <w:pStyle w:val="Heading1"/>
      </w:pPr>
      <w:r>
        <w:t xml:space="preserve">6.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1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18"/>
    <w:bookmarkStart w:id="13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133"/>
    <w:bookmarkStart w:id="13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136"/>
    <w:bookmarkStart w:id="13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139"/>
    <w:bookmarkStart w:id="14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2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2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2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28"/>
        </w:numPr>
      </w:pPr>
      <w:r>
        <w:t xml:space="preserve">Feeds the command outputs back into the conversation context as tool messages.</w:t>
      </w:r>
    </w:p>
    <w:bookmarkEnd w:id="140"/>
    <w:bookmarkStart w:id="14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141"/>
    <w:bookmarkStart w:id="145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43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31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31"/>
        </w:numPr>
      </w:pPr>
      <w:r>
        <w:t xml:space="preserve">implement with cheaper ones</w:t>
      </w:r>
    </w:p>
    <w:p>
      <w:pPr>
        <w:pStyle w:val="Compact"/>
        <w:numPr>
          <w:ilvl w:val="0"/>
          <w:numId w:val="1031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144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145"/>
    <w:bookmarkStart w:id="14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148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149"/>
    <w:bookmarkStart w:id="15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150"/>
    <w:bookmarkStart w:id="15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152"/>
    <w:bookmarkStart w:id="15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34"/>
        </w:numPr>
      </w:pPr>
      <w:hyperlink r:id="rId15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34"/>
        </w:numPr>
      </w:pPr>
      <w:hyperlink r:id="rId15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35"/>
        </w:numPr>
      </w:pPr>
      <w:r>
        <w:t xml:space="preserve">spellcheck</w:t>
      </w:r>
    </w:p>
    <w:p>
      <w:pPr>
        <w:pStyle w:val="Compact"/>
        <w:numPr>
          <w:ilvl w:val="1"/>
          <w:numId w:val="1035"/>
        </w:numPr>
      </w:pPr>
      <w:r>
        <w:t xml:space="preserve">link check</w:t>
      </w:r>
    </w:p>
    <w:p>
      <w:pPr>
        <w:pStyle w:val="Compact"/>
        <w:numPr>
          <w:ilvl w:val="1"/>
          <w:numId w:val="1035"/>
        </w:numPr>
      </w:pPr>
      <w:r>
        <w:t xml:space="preserve">non-standard-characters</w:t>
      </w:r>
    </w:p>
    <w:p>
      <w:pPr>
        <w:pStyle w:val="Compact"/>
        <w:numPr>
          <w:ilvl w:val="1"/>
          <w:numId w:val="1035"/>
        </w:numPr>
      </w:pPr>
      <w:r>
        <w:t xml:space="preserve">bibliography DOIs</w:t>
      </w:r>
    </w:p>
    <w:bookmarkEnd w:id="155"/>
    <w:bookmarkEnd w:id="156"/>
    <w:bookmarkStart w:id="166" w:name="sec-ai-thinking-machines-inkling"/>
    <w:p>
      <w:pPr>
        <w:pStyle w:val="Heading1"/>
      </w:pPr>
      <w:r>
        <w:t xml:space="preserve">7. Thinking Machines Lab’s Inkling Models</w:t>
      </w:r>
    </w:p>
    <w:p>
      <w:pPr>
        <w:pStyle w:val="FirstParagraph"/>
      </w:pPr>
      <w:hyperlink r:id="rId157">
        <w:r>
          <w:rPr>
            <w:rStyle w:val="Hyperlink"/>
          </w:rPr>
          <w:t xml:space="preserve">Inkling</w:t>
        </w:r>
      </w:hyperlink>
      <w:r>
        <w:t xml:space="preserve"> </w:t>
      </w:r>
      <w:r>
        <w:t xml:space="preserve">(Thinking Machines Lab 2026a)</w:t>
      </w:r>
      <w:r>
        <w:t xml:space="preserve"> </w:t>
      </w:r>
      <w:r>
        <w:t xml:space="preserve">is a pair of</w:t>
      </w:r>
      <w:r>
        <w:t xml:space="preserve"> </w:t>
      </w:r>
      <w:r>
        <w:t xml:space="preserve">open-weight, multimodal foundation models from Thinking Machines Lab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This is a model release, not a coding agent or a chat product:</w:t>
      </w:r>
      <w:r>
        <w:t xml:space="preserve"> </w:t>
      </w:r>
      <w:r>
        <w:t xml:space="preserve">the weights are downloadable,</w:t>
      </w:r>
      <w:r>
        <w:t xml:space="preserve"> </w:t>
      </w:r>
      <w:r>
        <w:t xml:space="preserve">and the company’s own hosted surfaces for it are a fine-tuning API</w:t>
      </w:r>
      <w:r>
        <w:t xml:space="preserve"> </w:t>
      </w:r>
      <w:r>
        <w:t xml:space="preserve">and a playground rather than an end-user assistant.</w:t>
      </w:r>
      <w:r>
        <w:t xml:space="preserve"> </w:t>
      </w:r>
      <w:r>
        <w:t xml:space="preserve">This section summarizes the release and asks whether it matters for our workflow.</w:t>
      </w:r>
    </w:p>
    <w:bookmarkStart w:id="159" w:name="who-thinking-machines-lab-is"/>
    <w:p>
      <w:pPr>
        <w:pStyle w:val="Heading4"/>
      </w:pPr>
      <w:r>
        <w:t xml:space="preserve">Who Thinking Machines Lab is</w:t>
      </w:r>
    </w:p>
    <w:p>
      <w:pPr>
        <w:pStyle w:val="FirstParagraph"/>
      </w:pPr>
      <w:r>
        <w:t xml:space="preserve">Thinking Machines Lab is a San Francisco AI startup founded in February 2025</w:t>
      </w:r>
      <w:r>
        <w:t xml:space="preserve"> </w:t>
      </w:r>
      <w:r>
        <w:t xml:space="preserve">by Mira Murati, formerly OpenAI’s chief technology officer,</w:t>
      </w:r>
      <w:r>
        <w:t xml:space="preserve"> </w:t>
      </w:r>
      <w:r>
        <w:t xml:space="preserve">with John Schulman, an OpenAI co-founder, as chief scientist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 raised $2 billion at a $12 billion valuation in July 2025,</w:t>
      </w:r>
      <w:r>
        <w:t xml:space="preserve"> </w:t>
      </w:r>
      <w:r>
        <w:t xml:space="preserve">and two founding members left for OpenAI in January 2026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Its first product,</w:t>
      </w:r>
      <w:r>
        <w:t xml:space="preserve"> </w:t>
      </w:r>
      <w:hyperlink r:id="rId158">
        <w:r>
          <w:rPr>
            <w:rStyle w:val="Hyperlink"/>
          </w:rPr>
          <w:t xml:space="preserve">Tinker</w:t>
        </w:r>
      </w:hyperlink>
      <w:r>
        <w:t xml:space="preserve"> </w:t>
      </w:r>
      <w:r>
        <w:t xml:space="preserve">(Thinking Machines Lab 2026f)</w:t>
      </w:r>
      <w:r>
        <w:t xml:space="preserve">,</w:t>
      </w:r>
      <w:r>
        <w:t xml:space="preserve"> </w:t>
      </w:r>
      <w:r>
        <w:t xml:space="preserve">released in October 2025,</w:t>
      </w:r>
      <w:r>
        <w:t xml:space="preserve"> </w:t>
      </w:r>
      <w:r>
        <w:t xml:space="preserve">is a LoRA fine-tuning API for open-weight models</w:t>
      </w:r>
      <w:r>
        <w:t xml:space="preserve"> </w:t>
      </w:r>
      <w:r>
        <w:t xml:space="preserve">where the customer writes the training loop in Python</w:t>
      </w:r>
      <w:r>
        <w:t xml:space="preserve"> </w:t>
      </w:r>
      <w:r>
        <w:t xml:space="preserve">and Thinking Machines runs the GPUs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Inkling is the company’s first in-house model,</w:t>
      </w:r>
      <w:r>
        <w:t xml:space="preserve"> </w:t>
      </w:r>
      <w:r>
        <w:t xml:space="preserve">released on 2026-07-15</w:t>
      </w:r>
      <w:r>
        <w:t xml:space="preserve"> </w:t>
      </w:r>
      <w:r>
        <w:t xml:space="preserve">(Thinking Machines Lab 2026c)</w:t>
      </w:r>
      <w:r>
        <w:t xml:space="preserve">.</w:t>
      </w:r>
    </w:p>
    <w:bookmarkEnd w:id="159"/>
    <w:bookmarkStart w:id="160" w:name="what-inkling-is"/>
    <w:p>
      <w:pPr>
        <w:pStyle w:val="Heading4"/>
      </w:pPr>
      <w:r>
        <w:t xml:space="preserve">What Inkling is</w:t>
      </w:r>
    </w:p>
    <w:p>
      <w:pPr>
        <w:pStyle w:val="FirstParagraph"/>
      </w:pPr>
      <w:r>
        <w:t xml:space="preserve">Two models share the name (measured 2026-09-09)</w:t>
      </w:r>
      <w:r>
        <w:t xml:space="preserve"> </w:t>
      </w:r>
      <w:r>
        <w:t xml:space="preserve">(Thinking Machines Lab 2026a)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</w:t>
      </w:r>
      <w:r>
        <w:t xml:space="preserve">: a mixture-of-experts transformer with 975 billion total parameters,</w:t>
      </w:r>
      <w:r>
        <w:t xml:space="preserve"> </w:t>
      </w:r>
      <w:r>
        <w:t xml:space="preserve">41 billion of them active per token,</w:t>
      </w:r>
      <w:r>
        <w:t xml:space="preserve"> </w:t>
      </w:r>
      <w:r>
        <w:t xml:space="preserve">and a context window of up to one million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Inkling-Small</w:t>
      </w:r>
      <w:r>
        <w:t xml:space="preserve">: 276 billion total parameters, 12 billion active,</w:t>
      </w:r>
      <w:r>
        <w:t xml:space="preserve"> </w:t>
      </w:r>
      <w:r>
        <w:t xml:space="preserve">released 2026-07-30 and post-trained by on-policy distillation</w:t>
      </w:r>
      <w:r>
        <w:t xml:space="preserve"> </w:t>
      </w:r>
      <w:r>
        <w:t xml:space="preserve">with Inkling as the teacher</w:t>
      </w:r>
      <w:r>
        <w:t xml:space="preserve"> </w:t>
      </w:r>
      <w:r>
        <w:t xml:space="preserve">(Thinking Machines Lab 2026e)</w:t>
      </w:r>
      <w:r>
        <w:t xml:space="preserve">.</w:t>
      </w:r>
      <w:r>
        <w:t xml:space="preserve"> </w:t>
      </w:r>
      <w:r>
        <w:t xml:space="preserve">The product page says it matches the larger model on many benchmarks</w:t>
      </w:r>
      <w:r>
        <w:t xml:space="preserve"> </w:t>
      </w:r>
      <w:r>
        <w:t xml:space="preserve">at a quarter of the size</w:t>
      </w:r>
      <w:r>
        <w:t xml:space="preserve"> </w:t>
      </w:r>
      <w:r>
        <w:t xml:space="preserve">(Thinking Machines Lab 2026a)</w:t>
      </w:r>
      <w:r>
        <w:t xml:space="preserve">.</w:t>
      </w:r>
    </w:p>
    <w:p>
      <w:pPr>
        <w:pStyle w:val="FirstParagraph"/>
      </w:pPr>
      <w:r>
        <w:t xml:space="preserve">Both accept text, image, and audio input and produce text only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Both are released under the Apache 2.0 license</w:t>
      </w:r>
      <w:r>
        <w:t xml:space="preserve"> </w:t>
      </w:r>
      <w:r>
        <w:t xml:space="preserve">(Thinking Machines Lab 2026b, 2026d)</w:t>
      </w:r>
      <w:r>
        <w:t xml:space="preserve">,</w:t>
      </w:r>
      <w:r>
        <w:t xml:space="preserve"> </w:t>
      </w:r>
      <w:r>
        <w:t xml:space="preserve">and both expose an effort setting that trades reasoning tokens for score;</w:t>
      </w:r>
      <w:r>
        <w:t xml:space="preserve"> </w:t>
      </w:r>
      <w:r>
        <w:t xml:space="preserve">the reported evaluations are run at</w:t>
      </w:r>
      <w:r>
        <w:t xml:space="preserve"> </w:t>
      </w:r>
      <w:r>
        <w:rPr>
          <w:rStyle w:val="VerbatimChar"/>
        </w:rPr>
        <w:t xml:space="preserve">effort=0.99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BodyText"/>
      </w:pPr>
      <w:r>
        <w:t xml:space="preserve">The announcement positions Inkling as a broad base for customization</w:t>
      </w:r>
      <w:r>
        <w:t xml:space="preserve"> </w:t>
      </w:r>
      <w:r>
        <w:t xml:space="preserve">rather than a leaderboard winner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Its claims, and the evidence offered for them: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Breadth</w:t>
      </w:r>
      <w:r>
        <w:t xml:space="preserve">: reported scores of 77.6% on SWE-Bench Verified,</w:t>
      </w:r>
      <w:r>
        <w:t xml:space="preserve"> </w:t>
      </w:r>
      <w:r>
        <w:t xml:space="preserve">63.8% on Terminal Bench 2.1, 87.2% on GPQA Diamond,</w:t>
      </w:r>
      <w:r>
        <w:t xml:space="preserve"> </w:t>
      </w:r>
      <w:r>
        <w:t xml:space="preserve">and 73.5% on MMMU Pro, all at the highest effort setting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Efficiency</w:t>
      </w:r>
      <w:r>
        <w:t xml:space="preserve">: the company reports that Inkling matches</w:t>
      </w:r>
      <w:r>
        <w:t xml:space="preserve"> </w:t>
      </w:r>
      <w:r>
        <w:t xml:space="preserve">NVIDIA’s Nemotron 3 Ultra on Terminal Bench 2.1</w:t>
      </w:r>
      <w:r>
        <w:t xml:space="preserve"> </w:t>
      </w:r>
      <w:r>
        <w:t xml:space="preserve">using roughly a third of the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Training</w:t>
      </w:r>
      <w:r>
        <w:t xml:space="preserve">: 45 trillion tokens of text, image, audio, and video,</w:t>
      </w:r>
      <w:r>
        <w:t xml:space="preserve"> </w:t>
      </w:r>
      <w:r>
        <w:t xml:space="preserve">then supervised fine-tuning on synthetic data</w:t>
      </w:r>
      <w:r>
        <w:t xml:space="preserve"> </w:t>
      </w:r>
      <w:r>
        <w:t xml:space="preserve">and reinforcement learning with more than 30 million rollouts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FirstParagraph"/>
      </w:pPr>
      <w:r>
        <w:t xml:space="preserve">These are the vendor’s own numbers on the vendor’s own runs;</w:t>
      </w:r>
      <w:r>
        <w:t xml:space="preserve"> </w:t>
      </w:r>
      <w:r>
        <w:t xml:space="preserve">we have not reproduced any of them.</w:t>
      </w:r>
      <w:r>
        <w:t xml:space="preserve"> </w:t>
      </w:r>
      <w:r>
        <w:t xml:space="preserve">Inkling-Small’s announcement reports 80.2% on SWE-Bench Verified</w:t>
      </w:r>
      <w:r>
        <w:t xml:space="preserve"> </w:t>
      </w:r>
      <w:r>
        <w:t xml:space="preserve">and 31.6% on Humanity’s Last Exam,</w:t>
      </w:r>
      <w:r>
        <w:t xml:space="preserve"> </w:t>
      </w:r>
      <w:r>
        <w:t xml:space="preserve">against Inkling’s 77.6% and 29.7%</w:t>
      </w:r>
      <w:r>
        <w:t xml:space="preserve"> </w:t>
      </w:r>
      <w:r>
        <w:t xml:space="preserve">(Thinking Machines Lab 2026e)</w:t>
      </w:r>
      <w:r>
        <w:t xml:space="preserve">.</w:t>
      </w:r>
    </w:p>
    <w:bookmarkEnd w:id="160"/>
    <w:bookmarkStart w:id="161" w:name="how-it-is-accessed-and-priced"/>
    <w:p>
      <w:pPr>
        <w:pStyle w:val="Heading4"/>
      </w:pPr>
      <w:r>
        <w:t xml:space="preserve">How it is accessed and priced</w:t>
      </w:r>
    </w:p>
    <w:p>
      <w:pPr>
        <w:pStyle w:val="FirstParagraph"/>
      </w:pPr>
      <w:r>
        <w:t xml:space="preserve">Access routes (measured 2026-09-09):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Weights</w:t>
      </w:r>
      <w:r>
        <w:t xml:space="preserve">: on Hugging Face, in BF16 and</w:t>
      </w:r>
      <w:r>
        <w:t xml:space="preserve"> </w:t>
      </w:r>
      <w:r>
        <w:rPr>
          <w:rStyle w:val="VerbatimChar"/>
        </w:rPr>
        <w:t xml:space="preserve">NVFP4</w:t>
      </w:r>
      <w:r>
        <w:t xml:space="preserve"> </w:t>
      </w:r>
      <w:r>
        <w:t xml:space="preserve">checkpoints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Even the smaller model has 276 billion parameters,</w:t>
      </w:r>
      <w:r>
        <w:t xml:space="preserve"> </w:t>
      </w:r>
      <w:r>
        <w:t xml:space="preserve">so neither fits any hardware the lab owns.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Tinker</w:t>
      </w:r>
      <w:r>
        <w:t xml:space="preserve">: LoRA fine-tuning at 64K or 256K context,</w:t>
      </w:r>
      <w:r>
        <w:t xml:space="preserve"> </w:t>
      </w:r>
      <w:r>
        <w:t xml:space="preserve">and a beta serverless inference endpoint,</w:t>
      </w:r>
      <w:r>
        <w:t xml:space="preserve"> </w:t>
      </w:r>
      <w:r>
        <w:t xml:space="preserve">both billed per million tokens</w:t>
      </w:r>
      <w:r>
        <w:t xml:space="preserve"> </w:t>
      </w:r>
      <w:r>
        <w:t xml:space="preserve">(Thinking Machines Lab 2026g)</w:t>
      </w:r>
      <w:r>
        <w:t xml:space="preserve">.</w:t>
      </w:r>
      <w:r>
        <w:t xml:space="preserve"> </w:t>
      </w:r>
      <w:r>
        <w:t xml:space="preserve">Under a limited-time 50% discount,</w:t>
      </w:r>
      <w:r>
        <w:t xml:space="preserve"> </w:t>
      </w:r>
      <w:r>
        <w:t xml:space="preserve">fine-tuning Inkling at 64K context costs $1.87 per million prefill tokens,</w:t>
      </w:r>
      <w:r>
        <w:t xml:space="preserve"> </w:t>
      </w:r>
      <w:r>
        <w:t xml:space="preserve">$4.68 per million sampled tokens, and $5.61 per million training tokens,</w:t>
      </w:r>
      <w:r>
        <w:t xml:space="preserve"> </w:t>
      </w:r>
      <w:r>
        <w:t xml:space="preserve">roughly doubling at 256K;</w:t>
      </w:r>
      <w:r>
        <w:t xml:space="preserve"> </w:t>
      </w:r>
      <w:r>
        <w:t xml:space="preserve">Inkling-Small is about a third of that.</w:t>
      </w:r>
      <w:r>
        <w:t xml:space="preserve"> </w:t>
      </w:r>
      <w:r>
        <w:t xml:space="preserve">Serverless inference is $1.00 input and $4.05 output per million tokens</w:t>
      </w:r>
      <w:r>
        <w:t xml:space="preserve"> </w:t>
      </w:r>
      <w:r>
        <w:t xml:space="preserve">for Inkling, and $0.30 and $1.20 for Inkling-Small.</w:t>
      </w:r>
      <w:r>
        <w:t xml:space="preserve"> </w:t>
      </w:r>
      <w:r>
        <w:t xml:space="preserve">Checkpoint storage adds $0.10 per GB per month</w:t>
      </w:r>
      <w:r>
        <w:t xml:space="preserve"> </w:t>
      </w:r>
      <w:r>
        <w:t xml:space="preserve">(Thinking Machines Lab 2026f)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Third-party hosts</w:t>
      </w:r>
      <w:r>
        <w:t xml:space="preserve">: the announcement lists Together AI, Fireworks, Modal,</w:t>
      </w:r>
      <w:r>
        <w:t xml:space="preserve"> </w:t>
      </w:r>
      <w:r>
        <w:t xml:space="preserve">Databricks, and Baseten as hosts,</w:t>
      </w:r>
      <w:r>
        <w:t xml:space="preserve"> </w:t>
      </w:r>
      <w:r>
        <w:t xml:space="preserve">and vLLM, SGLang, and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among supported inference engines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Our quota-aware defaults for the Databricks endpoint are already in</w:t>
      </w:r>
    </w:p>
    <w:bookmarkEnd w:id="161"/>
    <w:bookmarkStart w:id="162" w:name="what-it-is-for"/>
    <w:p>
      <w:pPr>
        <w:pStyle w:val="Heading4"/>
      </w:pPr>
      <w:r>
        <w:t xml:space="preserve">What it is for</w:t>
      </w:r>
    </w:p>
    <w:p>
      <w:pPr>
        <w:pStyle w:val="FirstParagraph"/>
      </w:pPr>
      <w:r>
        <w:t xml:space="preserve">Thinking Machines’ stated bet is that organizations will want to</w:t>
      </w:r>
      <w:r>
        <w:t xml:space="preserve"> </w:t>
      </w:r>
      <w:r>
        <w:t xml:space="preserve">fine-tune a capable open model on their own data</w:t>
      </w:r>
      <w:r>
        <w:t xml:space="preserve"> </w:t>
      </w:r>
      <w:r>
        <w:t xml:space="preserve">rather than rent a closed frontier model,</w:t>
      </w:r>
      <w:r>
        <w:t xml:space="preserve"> </w:t>
      </w:r>
      <w:r>
        <w:t xml:space="preserve">and Inkling exists to give Tinker a strong first-party base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Tinker’s own pitch lists specialized agents, forecasting,</w:t>
      </w:r>
      <w:r>
        <w:t xml:space="preserve"> </w:t>
      </w:r>
      <w:r>
        <w:t xml:space="preserve">continual learning, and AI research as the intended uses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The audio and image inputs make it a candidate</w:t>
      </w:r>
      <w:r>
        <w:t xml:space="preserve"> </w:t>
      </w:r>
      <w:r>
        <w:t xml:space="preserve">for transcription-plus-reasoning pipelines as well as coding.</w:t>
      </w:r>
    </w:p>
    <w:bookmarkEnd w:id="162"/>
    <w:bookmarkStart w:id="165" w:name="X325194a81c2689a262e8f577207d501dee24f42"/>
    <w:p>
      <w:pPr>
        <w:pStyle w:val="Heading4"/>
      </w:pPr>
      <w:r>
        <w:t xml:space="preserve">Useful to us? Marginally, and only through a host</w:t>
      </w:r>
    </w:p>
    <w:p>
      <w:pPr>
        <w:pStyle w:val="FirstParagraph"/>
      </w:pPr>
      <w:r>
        <w:t xml:space="preserve">As a coding-agent backend,</w:t>
      </w:r>
      <w:r>
        <w:t xml:space="preserve"> </w:t>
      </w:r>
      <w:r>
        <w:t xml:space="preserve">Inkling is one more open-weight option alongside the models</w:t>
      </w:r>
      <w:r>
        <w:t xml:space="preserve"> </w:t>
      </w:r>
      <w:r>
        <w:t xml:space="preserve">in</w:t>
      </w:r>
      <w:r>
        <w:t xml:space="preserve"> </w:t>
      </w:r>
      <w:hyperlink r:id="rId163">
        <w:r>
          <w:rPr>
            <w:rStyle w:val="Hyperlink"/>
          </w:rPr>
          <w:t xml:space="preserve">the agent catalog</w:t>
        </w:r>
      </w:hyperlink>
      <w:r>
        <w:t xml:space="preserve">,</w:t>
      </w:r>
      <w:r>
        <w:t xml:space="preserve"> </w:t>
      </w:r>
      <w:r>
        <w:t xml:space="preserve">reachable through Databricks (</w:t>
      </w:r>
      <w:hyperlink r:id="rId164">
        <w:r>
          <w:rPr>
            <w:rStyle w:val="Hyperlink"/>
          </w:rPr>
          <w:t xml:space="preserve">custom model endpoints</w:t>
        </w:r>
      </w:hyperlink>
      <w:r>
        <w:t xml:space="preserve">)</w:t>
      </w:r>
      <w:r>
        <w:t xml:space="preserve"> </w:t>
      </w:r>
      <w:r>
        <w:t xml:space="preserve">or, when a host lists it there, OpenRouter (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Its reported SWE-Bench and Terminal Bench scores are competitive</w:t>
      </w:r>
      <w:r>
        <w:t xml:space="preserve"> </w:t>
      </w:r>
      <w:r>
        <w:t xml:space="preserve">but not ahead of the closed models we already pay for,</w:t>
      </w:r>
      <w:r>
        <w:t xml:space="preserve"> </w:t>
      </w:r>
      <w:r>
        <w:t xml:space="preserve">and the 8,192-token output cap on the Databricks endpoint</w:t>
      </w:r>
      <w:r>
        <w:t xml:space="preserve"> </w:t>
      </w:r>
      <w:r>
        <w:t xml:space="preserve">is a real constraint for agentic edits.</w:t>
      </w:r>
      <w:r>
        <w:t xml:space="preserve"> </w:t>
      </w:r>
      <w:r>
        <w:t xml:space="preserve">Self-hosting is out: the lab has no machine</w:t>
      </w:r>
      <w:r>
        <w:t xml:space="preserve"> </w:t>
      </w:r>
      <w:r>
        <w:t xml:space="preserve">within an order of magnitude of the memory required.</w:t>
      </w:r>
    </w:p>
    <w:p>
      <w:pPr>
        <w:pStyle w:val="BodyText"/>
      </w:pPr>
      <w:r>
        <w:t xml:space="preserve">The more interesting angle is research.</w:t>
      </w:r>
      <w:r>
        <w:t xml:space="preserve"> </w:t>
      </w:r>
      <w:r>
        <w:t xml:space="preserve">Tinker lets a student run a fine-tuning or reinforcement-learning experiment</w:t>
      </w:r>
      <w:r>
        <w:t xml:space="preserve"> </w:t>
      </w:r>
      <w:r>
        <w:t xml:space="preserve">on a frontier-class open model</w:t>
      </w:r>
      <w:r>
        <w:t xml:space="preserve"> </w:t>
      </w:r>
      <w:r>
        <w:t xml:space="preserve">with a Python training loop and no cluster administration,</w:t>
      </w:r>
      <w:r>
        <w:t xml:space="preserve"> </w:t>
      </w:r>
      <w:r>
        <w:t xml:space="preserve">and universities can ask for wider access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If a project ever needs to adapt a model</w:t>
      </w:r>
      <w:r>
        <w:t xml:space="preserve"> </w:t>
      </w:r>
      <w:r>
        <w:t xml:space="preserve">to epidemiological text or lab-specific coding conventions,</w:t>
      </w:r>
      <w:r>
        <w:t xml:space="preserve"> </w:t>
      </w:r>
      <w:r>
        <w:t xml:space="preserve">Tinker with Inkling-Small is a cheap place to try it.</w:t>
      </w:r>
      <w:r>
        <w:t xml:space="preserve"> </w:t>
      </w:r>
      <w:r>
        <w:t xml:space="preserve">Until such a project appears,</w:t>
      </w:r>
      <w:r>
        <w:t xml:space="preserve"> </w:t>
      </w:r>
      <w:r>
        <w:t xml:space="preserve">no action is needed beyond keeping the Databricks endpoint in our defaults table.</w:t>
      </w:r>
    </w:p>
    <w:bookmarkEnd w:id="165"/>
    <w:bookmarkEnd w:id="16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16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16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168"/>
    <w:bookmarkStart w:id="169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169"/>
    <w:bookmarkStart w:id="171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170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171"/>
    <w:bookmarkStart w:id="173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172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173"/>
    <w:bookmarkStart w:id="174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174"/>
    <w:bookmarkStart w:id="175" w:name="ref-inkling_page"/>
    <w:p>
      <w:pPr>
        <w:pStyle w:val="Bibliography"/>
      </w:pPr>
      <w:r>
        <w:t xml:space="preserve">Thinking Machines Lab. 2026a.</w:t>
      </w:r>
      <w:r>
        <w:t xml:space="preserve"> </w:t>
      </w:r>
      <w:r>
        <w:rPr>
          <w:i/>
          <w:iCs/>
        </w:rPr>
        <w:t xml:space="preserve">Inkling</w:t>
      </w:r>
      <w:r>
        <w:t xml:space="preserve">. Product page.</w:t>
      </w:r>
      <w:r>
        <w:t xml:space="preserve"> </w:t>
      </w:r>
      <w:hyperlink r:id="rId157">
        <w:r>
          <w:rPr>
            <w:rStyle w:val="Hyperlink"/>
          </w:rPr>
          <w:t xml:space="preserve">https://thinkingmachines.ai/inkling/</w:t>
        </w:r>
      </w:hyperlink>
      <w:r>
        <w:t xml:space="preserve">.</w:t>
      </w:r>
    </w:p>
    <w:bookmarkEnd w:id="175"/>
    <w:bookmarkStart w:id="177" w:name="ref-inkling_model_card"/>
    <w:p>
      <w:pPr>
        <w:pStyle w:val="Bibliography"/>
      </w:pPr>
      <w:r>
        <w:t xml:space="preserve">Thinking Machines Lab. 2026b.</w:t>
      </w:r>
      <w:r>
        <w:t xml:space="preserve"> </w:t>
      </w:r>
      <w:r>
        <w:rPr>
          <w:i/>
          <w:iCs/>
        </w:rPr>
        <w:t xml:space="preserve">Inkling Model Card</w:t>
      </w:r>
      <w:r>
        <w:t xml:space="preserve">. Hugging Face model card.</w:t>
      </w:r>
      <w:r>
        <w:t xml:space="preserve"> </w:t>
      </w:r>
      <w:hyperlink r:id="rId176">
        <w:r>
          <w:rPr>
            <w:rStyle w:val="Hyperlink"/>
          </w:rPr>
          <w:t xml:space="preserve">https://huggingface.co/thinkingmachines/Inkling</w:t>
        </w:r>
      </w:hyperlink>
      <w:r>
        <w:t xml:space="preserve">.</w:t>
      </w:r>
    </w:p>
    <w:bookmarkEnd w:id="177"/>
    <w:bookmarkStart w:id="179" w:name="ref-inkling_announcement"/>
    <w:p>
      <w:pPr>
        <w:pStyle w:val="Bibliography"/>
      </w:pPr>
      <w:r>
        <w:t xml:space="preserve">Thinking Machines Lab. 2026c.</w:t>
      </w:r>
      <w:r>
        <w:t xml:space="preserve"> </w:t>
      </w:r>
      <w:r>
        <w:rPr>
          <w:i/>
          <w:iCs/>
        </w:rPr>
        <w:t xml:space="preserve">Inkling: Our Open-Weights Model</w:t>
      </w:r>
      <w:r>
        <w:t xml:space="preserve">. News post.</w:t>
      </w:r>
      <w:r>
        <w:t xml:space="preserve"> </w:t>
      </w:r>
      <w:hyperlink r:id="rId178">
        <w:r>
          <w:rPr>
            <w:rStyle w:val="Hyperlink"/>
          </w:rPr>
          <w:t xml:space="preserve">https://thinkingmachines.ai/news/introducing-inkling/</w:t>
        </w:r>
      </w:hyperlink>
      <w:r>
        <w:t xml:space="preserve">.</w:t>
      </w:r>
    </w:p>
    <w:bookmarkEnd w:id="179"/>
    <w:bookmarkStart w:id="181" w:name="ref-inkling_small_model_card"/>
    <w:p>
      <w:pPr>
        <w:pStyle w:val="Bibliography"/>
      </w:pPr>
      <w:r>
        <w:t xml:space="preserve">Thinking Machines Lab. 2026d.</w:t>
      </w:r>
      <w:r>
        <w:t xml:space="preserve"> </w:t>
      </w:r>
      <w:r>
        <w:rPr>
          <w:i/>
          <w:iCs/>
        </w:rPr>
        <w:t xml:space="preserve">Inkling-Small Model Card</w:t>
      </w:r>
      <w:r>
        <w:t xml:space="preserve">. Hugging Face model card.</w:t>
      </w:r>
      <w:r>
        <w:t xml:space="preserve"> </w:t>
      </w:r>
      <w:hyperlink r:id="rId180">
        <w:r>
          <w:rPr>
            <w:rStyle w:val="Hyperlink"/>
          </w:rPr>
          <w:t xml:space="preserve">https://huggingface.co/thinkingmachines/Inkling-Small</w:t>
        </w:r>
      </w:hyperlink>
      <w:r>
        <w:t xml:space="preserve">.</w:t>
      </w:r>
    </w:p>
    <w:bookmarkEnd w:id="181"/>
    <w:bookmarkStart w:id="183" w:name="ref-inkling_small_announcement"/>
    <w:p>
      <w:pPr>
        <w:pStyle w:val="Bibliography"/>
      </w:pPr>
      <w:r>
        <w:t xml:space="preserve">Thinking Machines Lab. 2026e.</w:t>
      </w:r>
      <w:r>
        <w:t xml:space="preserve"> </w:t>
      </w:r>
      <w:r>
        <w:rPr>
          <w:i/>
          <w:iCs/>
        </w:rPr>
        <w:t xml:space="preserve">Introducing Inkling-Small</w:t>
      </w:r>
      <w:r>
        <w:t xml:space="preserve">. News post.</w:t>
      </w:r>
      <w:r>
        <w:t xml:space="preserve"> </w:t>
      </w:r>
      <w:hyperlink r:id="rId182">
        <w:r>
          <w:rPr>
            <w:rStyle w:val="Hyperlink"/>
          </w:rPr>
          <w:t xml:space="preserve">https://thinkingmachines.ai/news/inkling-small/</w:t>
        </w:r>
      </w:hyperlink>
      <w:r>
        <w:t xml:space="preserve">.</w:t>
      </w:r>
    </w:p>
    <w:bookmarkEnd w:id="183"/>
    <w:bookmarkStart w:id="184" w:name="ref-tinker_page"/>
    <w:p>
      <w:pPr>
        <w:pStyle w:val="Bibliography"/>
      </w:pPr>
      <w:r>
        <w:t xml:space="preserve">Thinking Machines Lab. 2026f.</w:t>
      </w:r>
      <w:r>
        <w:t xml:space="preserve"> </w:t>
      </w:r>
      <w:r>
        <w:rPr>
          <w:i/>
          <w:iCs/>
        </w:rPr>
        <w:t xml:space="preserve">Tinker</w:t>
      </w:r>
      <w:r>
        <w:t xml:space="preserve">. Product page.</w:t>
      </w:r>
      <w:r>
        <w:t xml:space="preserve"> </w:t>
      </w:r>
      <w:hyperlink r:id="rId158">
        <w:r>
          <w:rPr>
            <w:rStyle w:val="Hyperlink"/>
          </w:rPr>
          <w:t xml:space="preserve">https://thinkingmachines.ai/tinker/</w:t>
        </w:r>
      </w:hyperlink>
      <w:r>
        <w:t xml:space="preserve">.</w:t>
      </w:r>
    </w:p>
    <w:bookmarkEnd w:id="184"/>
    <w:bookmarkStart w:id="186" w:name="ref-tinker_models_pricing"/>
    <w:p>
      <w:pPr>
        <w:pStyle w:val="Bibliography"/>
      </w:pPr>
      <w:r>
        <w:t xml:space="preserve">Thinking Machines Lab. 2026g.</w:t>
      </w:r>
      <w:r>
        <w:t xml:space="preserve"> </w:t>
      </w:r>
      <w:r>
        <w:rPr>
          <w:i/>
          <w:iCs/>
        </w:rPr>
        <w:t xml:space="preserve">Tinker Models and Pricing</w:t>
      </w:r>
      <w:r>
        <w:t xml:space="preserve">. Documentation.</w:t>
      </w:r>
      <w:r>
        <w:t xml:space="preserve"> </w:t>
      </w:r>
      <w:hyperlink r:id="rId185">
        <w:r>
          <w:rPr>
            <w:rStyle w:val="Hyperlink"/>
          </w:rPr>
          <w:t xml:space="preserve">https://tinker-docs.thinkingmachines.ai/tinker/models/</w:t>
        </w:r>
      </w:hyperlink>
      <w:r>
        <w:t xml:space="preserve">.</w:t>
      </w:r>
    </w:p>
    <w:bookmarkEnd w:id="186"/>
    <w:bookmarkStart w:id="188" w:name="ref-wikipedia_thinking_machine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Thinking Machines Lab</w:t>
      </w:r>
      <w:r>
        <w:t xml:space="preserve">. Wikipedia.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https://en.wikipedia.org/wiki/Thinking_Machines_Lab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9" Target="media/rId29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Models and Offline Agents</dc:title>
  <dc:creator/>
  <cp:keywords/>
  <dcterms:created xsi:type="dcterms:W3CDTF">2026-09-29T06:49:54Z</dcterms:created>
  <dcterms:modified xsi:type="dcterms:W3CDTF">2026-09-29T06:49:54Z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23:45:28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