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2026-07-28 12:14:20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0"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9">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10"/>
    <w:bookmarkStart w:id="12"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1">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2"/>
    <w:bookmarkStart w:id="15"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3">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bookmarkEnd w:id="15"/>
    <w:bookmarkStart w:id="22"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16">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17">
        <w:r>
          <w:rPr>
            <w:rStyle w:val="VerbatimChar"/>
          </w:rPr>
          <w:t xml:space="preserve">stack-dont-pause</w:t>
        </w:r>
      </w:hyperlink>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18">
        <w:r>
          <w:rPr>
            <w:rStyle w:val="Hyperlink"/>
          </w:rPr>
          <w:t xml:space="preserve">gha#219</w:t>
        </w:r>
      </w:hyperlink>
      <w:r>
        <w:t xml:space="preserve">/</w:t>
      </w:r>
      <w:hyperlink r:id="rId19">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p>
      <w:pPr>
        <w:pStyle w:val="BodyText"/>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20">
        <w:r>
          <w:rPr>
            <w:rStyle w:val="Hyperlink"/>
          </w:rPr>
          <w:t xml:space="preserve">d-morrison/rme#989</w:t>
        </w:r>
      </w:hyperlink>
      <w:r>
        <w:t xml:space="preserve"> </w:t>
      </w:r>
      <w:r>
        <w:t xml:space="preserve">/</w:t>
      </w:r>
      <w:r>
        <w:t xml:space="preserve"> </w:t>
      </w:r>
      <w:hyperlink r:id="rId21">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bookmarkEnd w:id="22"/>
    <w:bookmarkStart w:id="23"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001"/>
        </w:numPr>
      </w:pPr>
      <w:r>
        <w:rPr>
          <w:b/>
          <w:bCs/>
        </w:rPr>
        <w:t xml:space="preserve">All CI workflows are green.</w:t>
      </w:r>
      <w:r>
        <w:t xml:space="preserve"> </w:t>
      </w:r>
      <w:r>
        <w:t xml:space="preserve">Every workflow passes — not just the required checks and not just the review job.</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p>
    <w:p>
      <w:pPr>
        <w:pStyle w:val="Compact"/>
        <w:numPr>
          <w:ilvl w:val="0"/>
          <w:numId w:val="1001"/>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 (Sparta#852, 2026-07-14: the same</w:t>
      </w:r>
      <w:r>
        <w:t xml:space="preserve"> </w:t>
      </w:r>
      <w:r>
        <w:rPr>
          <w:rStyle w:val="VerbatimChar"/>
        </w:rPr>
        <w:t xml:space="preserve">@claude</w:t>
      </w:r>
      <w:r>
        <w:t xml:space="preserve"> </w:t>
      </w:r>
      <w:r>
        <w:t xml:space="preserve">review job’s independent runs on this PR gave three different verdicts on the identical</w:t>
      </w:r>
      <w:r>
        <w:t xml:space="preserve"> </w:t>
      </w:r>
      <w:r>
        <w:rPr>
          <w:rStyle w:val="VerbatimChar"/>
        </w:rPr>
        <w:t xml:space="preserve">gitglossary(7)</w:t>
      </w:r>
      <w:r>
        <w:t xml:space="preserve">-backed pathspec claim across three re-triggers with no intervening code change to the claim itself —</w:t>
      </w:r>
      <w:r>
        <w:t xml:space="preserve"> </w:t>
      </w:r>
      <w:r>
        <w:t xml:space="preserve">“settled, accurate”</w:t>
      </w:r>
      <w:r>
        <w:t xml:space="preserve"> </w:t>
      </w:r>
      <w:r>
        <w:t xml:space="preserve">-&gt;</w:t>
      </w:r>
      <w:r>
        <w:t xml:space="preserve"> </w:t>
      </w:r>
      <w:r>
        <w:t xml:space="preserve">“backwards, needs more work”</w:t>
      </w:r>
      <w:r>
        <w:t xml:space="preserve"> </w:t>
      </w:r>
      <w:r>
        <w:t xml:space="preserve">-&gt;</w:t>
      </w:r>
      <w:r>
        <w:t xml:space="preserve"> </w:t>
      </w:r>
      <w:r>
        <w:t xml:space="preserve">“accurate after all, retracting my own prior finding”</w:t>
      </w:r>
      <w:r>
        <w:t xml:space="preserve"> </w:t>
      </w:r>
      <w:r>
        <w:t xml:space="preserve">— resolved only once the human merged it directly rather than by winning the argument with the bot.)</w:t>
      </w:r>
    </w:p>
    <w:p>
      <w:pPr>
        <w:pStyle w:val="BodyText"/>
      </w:pPr>
      <w:r>
        <w:rPr>
          <w:b/>
          <w:bCs/>
        </w:rPr>
        <w:t xml:space="preserve">A review job’s pass/fail conclusion can diverge from whether a genuine clean verdict was actually posted — check both directions, not just the check’s color.</w:t>
      </w:r>
      <w:r>
        <w:t xml:space="preserve"> </w:t>
      </w:r>
      <w:r>
        <w:t xml:space="preserve">The familiar direction: a green review job that posted only a stub with no verdict (a stalled/crashed review run) is NOT a clean verdict — re-trigger and read the actual comment before trusting green.</w:t>
      </w:r>
      <w:r>
        <w:t xml:space="preserve"> </w:t>
      </w:r>
      <w:r>
        <w:t xml:space="preserve">The inverse, easy to miss: a review job reporting FAILURE can still have posted a complete, genuine</w:t>
      </w:r>
      <w:r>
        <w:t xml:space="preserve"> </w:t>
      </w:r>
      <w:r>
        <w:t xml:space="preserve">“Ready for merge”</w:t>
      </w:r>
      <w:r>
        <w:t xml:space="preserve"> </w:t>
      </w:r>
      <w:r>
        <w:t xml:space="preserve">verdict with real findings-review content — some guard scripts that gate the job’s own pass/fail on detecting a verdict string can misfire and report failure even though a full review ran and passed.</w:t>
      </w:r>
      <w:r>
        <w:t xml:space="preserve"> </w:t>
      </w:r>
      <w:r>
        <w:t xml:space="preserve">Read the posted comment body, not just the check conclusion, before concluding a PR is or isn’t clean.</w:t>
      </w:r>
      <w:r>
        <w:t xml:space="preserve"> </w:t>
      </w:r>
      <w:r>
        <w:t xml:space="preserve">If the check is a</w:t>
      </w:r>
      <w:r>
        <w:t xml:space="preserve"> </w:t>
      </w:r>
      <w:r>
        <w:rPr>
          <w:b/>
          <w:bCs/>
        </w:rPr>
        <w:t xml:space="preserve">required</w:t>
      </w:r>
      <w:r>
        <w:t xml:space="preserve"> </w:t>
      </w:r>
      <w:r>
        <w:t xml:space="preserve">check and you’ve independently confirmed the posted content is genuinely clean, that is still not authorization to merge past it yourself — a required check failing is exactly the</w:t>
      </w:r>
      <w:r>
        <w:t xml:space="preserve"> </w:t>
      </w:r>
      <w:r>
        <w:t xml:space="preserve">“stop and ask”</w:t>
      </w:r>
      <w:r>
        <w:t xml:space="preserve"> </w:t>
      </w:r>
      <w:r>
        <w:t xml:space="preserve">case even under a merge-when-confident grant (see</w:t>
      </w:r>
      <w:r>
        <w:t xml:space="preserve"> </w:t>
      </w:r>
      <w:r>
        <w:rPr>
          <w:rStyle w:val="VerbatimChar"/>
        </w:rPr>
        <w:t xml:space="preserve">mwc</w:t>
      </w:r>
      <w:r>
        <w:t xml:space="preserve">’s scope note); report the evidence and let the human decide whether to override, fix the guard script, or relax branch protection. (Learned on sparta#590/#594/#598, 2026-07-02: two independent PRs hit the inverse misfire in the same session, and an attempt to merge past the required check on verified-clean content was correctly blocked by the harness’s own permission system.)</w:t>
      </w:r>
    </w:p>
    <w:p>
      <w:pPr>
        <w:pStyle w:val="BodyText"/>
      </w:pPr>
      <w:r>
        <w:rPr>
          <w:b/>
          <w:bCs/>
        </w:rPr>
        <w:t xml:space="preserve">A third case, distinct from either misfire above: some checks are designed to NEVER fail regardless of their own posted content, so their green color carries zero signal at all.</w:t>
      </w:r>
      <w:r>
        <w:t xml:space="preserve"> </w:t>
      </w:r>
      <w:r>
        <w:t xml:space="preserve">A CI-runner-relative benchmark check that gates a soft threshold (e.g. </w:t>
      </w:r>
      <w:r>
        <w:t xml:space="preserve">“regressed beyond 20% vs. baseline”</w:t>
      </w:r>
      <w:r>
        <w:t xml:space="preserve">) may deliberately report success/pass at the GitHub-check level even when it posts a</w:t>
      </w:r>
      <w:r>
        <w:t xml:space="preserve"> </w:t>
      </w:r>
      <w:r>
        <w:rPr>
          <w:rStyle w:val="VerbatimChar"/>
        </w:rPr>
        <w:t xml:space="preserve">:warning:</w:t>
      </w:r>
      <w:r>
        <w:t xml:space="preserve"> </w:t>
      </w:r>
      <w:r>
        <w:t xml:space="preserve">regression comment, precisely because the project has decided that threshold is</w:t>
      </w:r>
      <w:r>
        <w:t xml:space="preserve"> </w:t>
      </w:r>
      <w:r>
        <w:t xml:space="preserve">“a human call, not an auto-block”</w:t>
      </w:r>
      <w:r>
        <w:t xml:space="preserve"> </w:t>
      </w:r>
      <w:r>
        <w:t xml:space="preserve">rather than a hard gate.</w:t>
      </w:r>
      <w:r>
        <w:t xml:space="preserve"> </w:t>
      </w:r>
      <w:r>
        <w:rPr>
          <w:rStyle w:val="VerbatimChar"/>
        </w:rPr>
        <w:t xml:space="preserve">gh pr checks</w:t>
      </w:r>
      <w:r>
        <w:t xml:space="preserve"> </w:t>
      </w:r>
      <w:r>
        <w:t xml:space="preserve">(or the equivalent status API) showing this check as PASS is consequently not evidence there is nothing to look at — it only means the check ran, not that its content was clean. Read the check’s own posted comment body every time, the same discipline the review-job case above already demands, but don’t expect the check’s pass/fail conclusion to ever flip for this class of check even on a real, large regression. (Sparta#995/#998/#999, 2026-07-19:</w:t>
      </w:r>
      <w:r>
        <w:t xml:space="preserve"> </w:t>
      </w:r>
      <w:r>
        <w:rPr>
          <w:rStyle w:val="VerbatimChar"/>
        </w:rPr>
        <w:t xml:space="preserve">gh pr checks</w:t>
      </w:r>
      <w:r>
        <w:t xml:space="preserve"> </w:t>
      </w:r>
      <w:r>
        <w:t xml:space="preserve">reported</w:t>
      </w:r>
      <w:r>
        <w:t xml:space="preserve"> </w:t>
      </w:r>
      <w:r>
        <w:rPr>
          <w:rStyle w:val="VerbatimChar"/>
        </w:rPr>
        <w:t xml:space="preserve">benchmark</w:t>
      </w:r>
      <w:r>
        <w:t xml:space="preserve"> </w:t>
      </w:r>
      <w:r>
        <w:t xml:space="preserve">as PASS across three separate PRs while the actual posted comment showed regressions of 45%, 38.8%, and 36.9% respectively against the CI-runner baseline — two were real, fixable redundant-computation bugs; the third traced to a stale baseline that predated an earlier PR’s own accepted cost increase and hadn’t been refreshed yet, since the refresh workflow only runs on a weekly schedule, not on every main push.)</w:t>
      </w:r>
    </w:p>
    <w:bookmarkEnd w:id="23"/>
    <w:bookmarkStart w:id="2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002"/>
        </w:numPr>
      </w:pPr>
      <w:r>
        <w:rPr>
          <w:b/>
          <w:bCs/>
        </w:rPr>
        <w:t xml:space="preserve">Fix it in this PR.</w:t>
      </w:r>
      <w:r>
        <w:t xml:space="preserve"> </w:t>
      </w:r>
      <w:r>
        <w:t xml:space="preserve">The default path — most nits are 1–3 line changes.</w:t>
      </w:r>
    </w:p>
    <w:p>
      <w:pPr>
        <w:pStyle w:val="Compact"/>
        <w:numPr>
          <w:ilvl w:val="0"/>
          <w:numId w:val="100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 (rme#706 ran</w:t>
      </w:r>
      <w:r>
        <w:t xml:space="preserve"> </w:t>
      </w:r>
      <w:r>
        <w:t xml:space="preserve">100+ review rounds: each round’s</w:t>
      </w:r>
      <w:r>
        <w:t xml:space="preserve"> </w:t>
      </w:r>
      <w:r>
        <w:rPr>
          <w:i/>
          <w:iCs/>
        </w:rPr>
        <w:t xml:space="preserve">new</w:t>
      </w:r>
      <w:r>
        <w:t xml:space="preserve"> </w:t>
      </w:r>
      <w:r>
        <w:t xml:space="preserve">findings — a missing derivation step,</w:t>
      </w:r>
      <w:r>
        <w:t xml:space="preserve"> </w:t>
      </w:r>
      <w:r>
        <w:t xml:space="preserve">a missing i.i.d. hypothesis, an unverified citation locator — got fixed</w:t>
      </w:r>
      <w:r>
        <w:t xml:space="preserve"> </w:t>
      </w:r>
      <w:r>
        <w:t xml:space="preserve">every time; the one recurring file-length flag got a single reply-and-hold</w:t>
      </w:r>
      <w:r>
        <w:t xml:space="preserve"> </w:t>
      </w:r>
      <w:r>
        <w:t xml:space="preserve">each round until the user weighed in.)</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 (ai-config#373: fixed</w:t>
      </w:r>
      <w:r>
        <w:t xml:space="preserve"> </w:t>
      </w:r>
      <w:r>
        <w:t xml:space="preserve">“routing/dispatch site”</w:t>
      </w:r>
      <w:r>
        <w:t xml:space="preserve"> </w:t>
      </w:r>
      <w:r>
        <w:t xml:space="preserve">in the skill</w:t>
      </w:r>
      <w:r>
        <w:t xml:space="preserve"> </w:t>
      </w:r>
      <w:r>
        <w:t xml:space="preserve">per review, but the CHANGELOG entry still said it until a follow-up commit.)</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 (</w:t>
      </w:r>
      <w:r>
        <w:rPr>
          <w:rStyle w:val="VerbatimChar"/>
        </w:rPr>
        <w:t xml:space="preserve">ai-config#507</w:t>
      </w:r>
      <w:r>
        <w:t xml:space="preserve">:</w:t>
      </w:r>
      <w:r>
        <w:t xml:space="preserve"> </w:t>
      </w:r>
      <w:r>
        <w:t xml:space="preserve">fixing</w:t>
      </w:r>
      <w:r>
        <w:t xml:space="preserve"> </w:t>
      </w:r>
      <w:r>
        <w:rPr>
          <w:rStyle w:val="VerbatimChar"/>
        </w:rPr>
        <w:t xml:space="preserve">forward-references.md</w:t>
      </w:r>
      <w:r>
        <w:t xml:space="preserve">’s regex left</w:t>
      </w:r>
      <w:r>
        <w:t xml:space="preserve"> </w:t>
      </w:r>
      <w:r>
        <w:rPr>
          <w:rStyle w:val="VerbatimChar"/>
        </w:rPr>
        <w:t xml:space="preserve">fix-forward-references/SKILL.md</w:t>
      </w:r>
      <w:r>
        <w:t xml:space="preserve">’s</w:t>
      </w:r>
      <w:r>
        <w:t xml:space="preserve"> </w:t>
      </w:r>
      <w:r>
        <w:t xml:space="preserve">own</w:t>
      </w:r>
      <w:r>
        <w:t xml:space="preserve"> </w:t>
      </w:r>
      <w:r>
        <w:rPr>
          <w:rStyle w:val="VerbatimChar"/>
        </w:rPr>
        <w:t xml:space="preserve">description</w:t>
      </w:r>
      <w:r>
        <w:t xml:space="preserve"> </w:t>
      </w:r>
      <w:r>
        <w:t xml:space="preserve">field and Step 2 summary describing the old, already-fixed</w:t>
      </w:r>
      <w:r>
        <w:t xml:space="preserve"> </w:t>
      </w:r>
      <w:r>
        <w:t xml:space="preserve">approach — caught in a second review round.)</w:t>
      </w:r>
    </w:p>
    <w:bookmarkEnd w:id="24"/>
    <w:bookmarkStart w:id="26" w:name="references"/>
    <w:p>
      <w:pPr>
        <w:pStyle w:val="Heading1"/>
      </w:pPr>
      <w:r>
        <w:t xml:space="preserve">References</w:t>
      </w:r>
    </w:p>
    <w:bookmarkStart w:id="25" w:name="refs"/>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skills/mwc/SKILL.md" TargetMode="External" /><Relationship Type="http://schemas.openxmlformats.org/officeDocument/2006/relationships/hyperlink" Id="rId14" Target="fully-clean.md" TargetMode="External" /><Relationship Type="http://schemas.openxmlformats.org/officeDocument/2006/relationships/hyperlink" Id="rId18" Target="https://github.com/d-morrison/gha/issues/219" TargetMode="External" /><Relationship Type="http://schemas.openxmlformats.org/officeDocument/2006/relationships/hyperlink" Id="rId19" Target="https://github.com/d-morrison/gha/pull/220" TargetMode="External" /><Relationship Type="http://schemas.openxmlformats.org/officeDocument/2006/relationships/hyperlink" Id="rId20" Target="https://github.com/d-morrison/rme/pull/989" TargetMode="External" /><Relationship Type="http://schemas.openxmlformats.org/officeDocument/2006/relationships/hyperlink" Id="rId21" Target="https://github.com/ucdavis/epi204/pull/363" TargetMode="External" /><Relationship Type="http://schemas.openxmlformats.org/officeDocument/2006/relationships/hyperlink" Id="rId9" Target="https://reprex.tidyverse.org/" TargetMode="External" /><Relationship Type="http://schemas.openxmlformats.org/officeDocument/2006/relationships/hyperlink" Id="rId11" Target="pr-on-claim.md" TargetMode="External" /><Relationship Type="http://schemas.openxmlformats.org/officeDocument/2006/relationships/hyperlink" Id="rId17" Target="stack-dont-pause.md" TargetMode="External" /><Relationship Type="http://schemas.openxmlformats.org/officeDocument/2006/relationships/hyperlink" Id="rId13"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16" Target="../../skills/mwc/SKILL.md" TargetMode="External" /><Relationship Type="http://schemas.openxmlformats.org/officeDocument/2006/relationships/hyperlink" Id="rId14" Target="fully-clean.md" TargetMode="External" /><Relationship Type="http://schemas.openxmlformats.org/officeDocument/2006/relationships/hyperlink" Id="rId18" Target="https://github.com/d-morrison/gha/issues/219" TargetMode="External" /><Relationship Type="http://schemas.openxmlformats.org/officeDocument/2006/relationships/hyperlink" Id="rId19" Target="https://github.com/d-morrison/gha/pull/220" TargetMode="External" /><Relationship Type="http://schemas.openxmlformats.org/officeDocument/2006/relationships/hyperlink" Id="rId20" Target="https://github.com/d-morrison/rme/pull/989" TargetMode="External" /><Relationship Type="http://schemas.openxmlformats.org/officeDocument/2006/relationships/hyperlink" Id="rId21" Target="https://github.com/ucdavis/epi204/pull/363" TargetMode="External" /><Relationship Type="http://schemas.openxmlformats.org/officeDocument/2006/relationships/hyperlink" Id="rId9" Target="https://reprex.tidyverse.org/" TargetMode="External" /><Relationship Type="http://schemas.openxmlformats.org/officeDocument/2006/relationships/hyperlink" Id="rId11" Target="pr-on-claim.md" TargetMode="External" /><Relationship Type="http://schemas.openxmlformats.org/officeDocument/2006/relationships/hyperlink" Id="rId17" Target="stack-dont-pause.md" TargetMode="External" /><Relationship Type="http://schemas.openxmlformats.org/officeDocument/2006/relationships/hyperlink" Id="rId13"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2026-07-28T19:17:45Z</dcterms:created>
  <dcterms:modified xsi:type="dcterms:W3CDTF">2026-07-28T19:17:45Z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2026-07-28 12:14:20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