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43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2026y)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2026s)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2026u)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2026u)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2026r)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30" w:name="sec-ai-auto-mode-mwc"/>
    <w:p>
      <w:pPr>
        <w:pStyle w:val="Heading4"/>
      </w:pPr>
      <w:r>
        <w:t xml:space="preserve">Worked example: letting auto mode merge under</w:t>
      </w:r>
      <w:r>
        <w:t xml:space="preserve"> </w:t>
      </w:r>
      <w:r>
        <w:rPr>
          <w:rStyle w:val="VerbatimChar"/>
        </w:rPr>
        <w:t xml:space="preserve">mwc</w:t>
      </w:r>
    </w:p>
    <w:p>
      <w:pPr>
        <w:pStyle w:val="FirstParagraph"/>
      </w:pPr>
      <w:r>
        <w:t xml:space="preserve">The lab grants merge authority one session at a time,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(</w:t>
      </w:r>
      <w:r>
        <w:t xml:space="preserve">“merge when confident”</w:t>
      </w:r>
      <w:r>
        <w:t xml:space="preserve">) grant from</w:t>
      </w:r>
      <w:r>
        <w:t xml:space="preserve"> </w:t>
      </w:r>
      <w:hyperlink r:id="rId26">
        <w:r>
          <w:rPr>
            <w:rStyle w:val="Hyperlink"/>
          </w:rPr>
          <w:t xml:space="preserve">ai-config</w:t>
        </w:r>
      </w:hyperlink>
      <w:r>
        <w:t xml:space="preserve">.</w:t>
      </w:r>
      <w:r>
        <w:t xml:space="preserve"> </w:t>
      </w:r>
      <w:r>
        <w:t xml:space="preserve">In auto mode,</w:t>
      </w:r>
      <w:r>
        <w:t xml:space="preserve"> </w:t>
      </w:r>
      <w:r>
        <w:t xml:space="preserve">the classifier reviews a</w:t>
      </w:r>
      <w:r>
        <w:t xml:space="preserve"> </w:t>
      </w:r>
      <w:r>
        <w:rPr>
          <w:rStyle w:val="VerbatimChar"/>
        </w:rPr>
        <w:t xml:space="preserve">gh pr merge</w:t>
      </w:r>
      <w:r>
        <w:t xml:space="preserve"> </w:t>
      </w:r>
      <w:r>
        <w:t xml:space="preserve">like any other action.</w:t>
      </w:r>
      <w:r>
        <w:t xml:space="preserve"> </w:t>
      </w:r>
      <w:r>
        <w:t xml:space="preserve">On 2026-10-05 it blocked the merge of</w:t>
      </w:r>
      <w:r>
        <w:t xml:space="preserve"> </w:t>
      </w:r>
      <w:hyperlink r:id="rId27">
        <w:r>
          <w:rPr>
            <w:rStyle w:val="Hyperlink"/>
          </w:rPr>
          <w:t xml:space="preserve">Morrison-Lab/mds#140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“Merge Without Review”</w:t>
      </w:r>
      <w:r>
        <w:t xml:space="preserve">,</w:t>
      </w:r>
      <w:r>
        <w:t xml:space="preserve"> </w:t>
      </w:r>
      <w:r>
        <w:t xml:space="preserve">although all of these held:</w:t>
      </w:r>
    </w:p>
    <w:p>
      <w:pPr>
        <w:pStyle w:val="Compact"/>
        <w:numPr>
          <w:ilvl w:val="0"/>
          <w:numId w:val="1008"/>
        </w:numPr>
      </w:pPr>
      <w:r>
        <w:t xml:space="preserve">the maintainer had typed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earlier in the session;</w:t>
      </w:r>
    </w:p>
    <w:p>
      <w:pPr>
        <w:pStyle w:val="Compact"/>
        <w:numPr>
          <w:ilvl w:val="0"/>
          <w:numId w:val="1008"/>
        </w:numPr>
      </w:pPr>
      <w:r>
        <w:t xml:space="preserve">CI was green;</w:t>
      </w:r>
    </w:p>
    <w:p>
      <w:pPr>
        <w:pStyle w:val="Compact"/>
        <w:numPr>
          <w:ilvl w:val="0"/>
          <w:numId w:val="1008"/>
        </w:numPr>
      </w:pPr>
      <w:r>
        <w:t xml:space="preserve">the lab’s fully-clean check had passed on the pull request’s head commit.</w:t>
      </w:r>
    </w:p>
    <w:p>
      <w:pPr>
        <w:pStyle w:val="FirstParagraph"/>
      </w:pPr>
      <w:r>
        <w:t xml:space="preserve">Three findings explain the block and the fix</w:t>
      </w:r>
      <w:r>
        <w:t xml:space="preserve"> </w:t>
      </w:r>
      <w:r>
        <w:t xml:space="preserve">(measured 2026-10-06).</w:t>
      </w:r>
    </w:p>
    <w:p>
      <w:pPr>
        <w:pStyle w:val="BodyText"/>
      </w:pPr>
      <w:r>
        <w:rPr>
          <w:b/>
          <w:bCs/>
        </w:rPr>
        <w:t xml:space="preserve">A one-word grant is not an approval the classifier can match.</w:t>
      </w:r>
      <w:r>
        <w:t xml:space="preserve"> </w:t>
      </w:r>
      <w:r>
        <w:t xml:space="preserve">An approval stated in conversation clears a block</w:t>
      </w:r>
      <w:r>
        <w:t xml:space="preserve"> </w:t>
      </w:r>
      <w:r>
        <w:t xml:space="preserve">only when it names the action and the specific thing that makes it dangerous,</w:t>
      </w:r>
      <w:r>
        <w:t xml:space="preserve"> </w:t>
      </w:r>
      <w:r>
        <w:t xml:space="preserve">and it covers one action unless it was granted as standing;</w:t>
      </w:r>
      <w:r>
        <w:t xml:space="preserve"> </w:t>
      </w:r>
      <w:r>
        <w:t xml:space="preserve">to approve a routine pattern,</w:t>
      </w:r>
      <w:r>
        <w:t xml:space="preserve"> </w:t>
      </w:r>
      <w:r>
        <w:t xml:space="preserve">the documented route is an</w:t>
      </w:r>
      <w:r>
        <w:t xml:space="preserve"> </w:t>
      </w:r>
      <w:r>
        <w:rPr>
          <w:rStyle w:val="VerbatimChar"/>
        </w:rPr>
        <w:t xml:space="preserve">autoMode.allow</w:t>
      </w:r>
      <w:r>
        <w:t xml:space="preserve"> </w:t>
      </w:r>
      <w:r>
        <w:t xml:space="preserve">rule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names neither the merge nor the pull request.</w:t>
      </w:r>
    </w:p>
    <w:p>
      <w:pPr>
        <w:pStyle w:val="BodyText"/>
      </w:pPr>
      <w:r>
        <w:rPr>
          <w:b/>
          <w:bCs/>
        </w:rPr>
        <w:t xml:space="preserve">The classifier does not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autoMode</w:t>
      </w:r>
      <w:r>
        <w:rPr>
          <w:b/>
          <w:bCs/>
        </w:rPr>
        <w:t xml:space="preserve"> </w:t>
      </w:r>
      <w:r>
        <w:rPr>
          <w:b/>
          <w:bCs/>
        </w:rPr>
        <w:t xml:space="preserve">from a repository.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autoMode</w:t>
      </w:r>
      <w:r>
        <w:t xml:space="preserve"> </w:t>
      </w:r>
      <w:r>
        <w:t xml:space="preserve">from user settings (</w:t>
      </w:r>
      <w:r>
        <w:rPr>
          <w:rStyle w:val="VerbatimChar"/>
        </w:rPr>
        <w:t xml:space="preserve">~/.claude/settings.json</w:t>
      </w:r>
      <w:r>
        <w:t xml:space="preserve">),</w:t>
      </w:r>
      <w:r>
        <w:t xml:space="preserve"> </w:t>
      </w:r>
      <w:r>
        <w:t xml:space="preserve">managed settings,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or the Agent SDK,</w:t>
      </w:r>
      <w:r>
        <w:t xml:space="preserve"> </w:t>
      </w:r>
      <w:r>
        <w:t xml:space="preserve">but not from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,</w:t>
      </w:r>
      <w:r>
        <w:t xml:space="preserve"> </w:t>
      </w:r>
      <w:r>
        <w:t xml:space="preserve">so that a checked-in repository cannot add its own allow rules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Morrison-Lab/mds#104</w:t>
        </w:r>
      </w:hyperlink>
      <w:r>
        <w:t xml:space="preserve"> </w:t>
      </w:r>
      <w:r>
        <w:t xml:space="preserve">had put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rule in the repository’s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where it never applied;</w:t>
      </w:r>
      <w:r>
        <w:t xml:space="preserve"> </w:t>
      </w:r>
      <w:hyperlink r:id="rId29">
        <w:r>
          <w:rPr>
            <w:rStyle w:val="Hyperlink"/>
          </w:rPr>
          <w:t xml:space="preserve">Morrison-Lab/mds#165</w:t>
        </w:r>
      </w:hyperlink>
      <w:r>
        <w:t xml:space="preserve"> </w:t>
      </w:r>
      <w:r>
        <w:t xml:space="preserve">removes it.</w:t>
      </w:r>
      <w:r>
        <w:t xml:space="preserve"> </w:t>
      </w:r>
      <w:r>
        <w:t xml:space="preserve">The rule belongs in user settings.</w:t>
      </w:r>
      <w:r>
        <w:t xml:space="preserve"> </w:t>
      </w:r>
      <w:r>
        <w:t xml:space="preserve">A cloud session has no user settings file,</w:t>
      </w:r>
      <w:r>
        <w:t xml:space="preserve"> </w:t>
      </w:r>
      <w:r>
        <w:t xml:space="preserve">so there the rule would have to come from managed settings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permissions.allow</w:t>
      </w:r>
      <w:r>
        <w:rPr>
          <w:b/>
          <w:bCs/>
        </w:rPr>
        <w:t xml:space="preserve"> </w:t>
      </w:r>
      <w:r>
        <w:rPr>
          <w:b/>
          <w:bCs/>
        </w:rPr>
        <w:t xml:space="preserve">rule is the wrong fix.</w:t>
      </w:r>
      <w:r>
        <w:t xml:space="preserve"> </w:t>
      </w:r>
      <w:r>
        <w:t xml:space="preserve">A rule such as</w:t>
      </w:r>
      <w:r>
        <w:t xml:space="preserve"> </w:t>
      </w:r>
      <w:r>
        <w:rPr>
          <w:rStyle w:val="VerbatimChar"/>
        </w:rPr>
        <w:t xml:space="preserve">Bash(gh pr merge:*)</w:t>
      </w:r>
      <w:r>
        <w:t xml:space="preserve"> </w:t>
      </w:r>
      <w:r>
        <w:t xml:space="preserve">approves every merge before the classifier sees it,</w:t>
      </w:r>
      <w:r>
        <w:t xml:space="preserve"> </w:t>
      </w:r>
      <w:r>
        <w:t xml:space="preserve">and auto mode keeps narrow rules like it in effect;</w:t>
      </w:r>
      <w:r>
        <w:t xml:space="preserve"> </w:t>
      </w:r>
      <w:r>
        <w:t xml:space="preserve">it drops only broad rules that grant arbitrary code execution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That would leave only the ai-config merge hooks between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 and a merge,</w:t>
      </w:r>
      <w:r>
        <w:t xml:space="preserve"> </w:t>
      </w:r>
      <w:r>
        <w:t xml:space="preserve">and in Claude Code neither of them checks the pull request: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no-unauthorized-merge.py</w:t>
      </w:r>
      <w:r>
        <w:t xml:space="preserve"> </w:t>
      </w:r>
      <w:r>
        <w:t xml:space="preserve">checks only that the session holds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enforce-mwc-review-gate.py</w:t>
      </w:r>
      <w:r>
        <w:t xml:space="preserve">, the hook that does check for a clean review on the head commit,</w:t>
      </w:r>
      <w:r>
        <w:t xml:space="preserve"> </w:t>
      </w:r>
      <w:r>
        <w:t xml:space="preserve">is wired up only for Antigravity, so it never runs in Claude Code.</w:t>
      </w:r>
    </w:p>
    <w:p>
      <w:pPr>
        <w:pStyle w:val="FirstParagraph"/>
      </w:pPr>
      <w:r>
        <w:t xml:space="preserve">The classifier reads the conversation,</w:t>
      </w:r>
      <w:r>
        <w:t xml:space="preserve"> </w:t>
      </w:r>
      <w:r>
        <w:t xml:space="preserve">so it can still refuse a merge over a failing check or an open review finding.</w:t>
      </w:r>
      <w:r>
        <w:t xml:space="preserve"> </w:t>
      </w:r>
      <w:r>
        <w:t xml:space="preserve">Keeping it in the path costs an occasional manual approval,</w:t>
      </w:r>
      <w:r>
        <w:t xml:space="preserve"> </w:t>
      </w:r>
      <w:r>
        <w:t xml:space="preserve">which is cheaper than an unreviewed merge.</w:t>
      </w:r>
    </w:p>
    <w:p>
      <w:pPr>
        <w:pStyle w:val="BodyText"/>
      </w:pPr>
      <w:r>
        <w:t xml:space="preserve">The rule now in the maintainer’s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names the grant’s forms and the evidence to look for,</w:t>
      </w:r>
      <w:r>
        <w:t xml:space="preserve"> </w:t>
      </w:r>
      <w:r>
        <w:t xml:space="preserve">after the built-in rules (</w:t>
      </w:r>
      <w:r>
        <w:rPr>
          <w:rStyle w:val="VerbatimChar"/>
        </w:rPr>
        <w:t xml:space="preserve">$defaults</w:t>
      </w:r>
      <w:r>
        <w:t xml:space="preserve">):</w:t>
      </w:r>
    </w:p>
    <w:p>
      <w:pPr>
        <w:pStyle w:val="SourceCode"/>
      </w:pPr>
      <w:r>
        <w:rPr>
          <w:rStyle w:val="StringTok"/>
        </w:rPr>
        <w:t xml:space="preserve">"autoMode"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"$defaults"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"Merging a pull request in a Morrison-Lab repository with `gh pr merge`, when all of these hold: (1) earlier in this session the user granted merge-when-confident, which they may do with the bare word `mwc`, `/mwc`, `maw`,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when confident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at will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(2) in this session, `check-pr-fully-clean.py` reported that PR FULLY CLEAN on its current head commit, meaning CI green, the automated review verdict clean and no unresolved review threads; (3) the merge command pins that same head SHA with `--match-head-commit`. Block it if any of these is missing, or if anything after the clean check (a new push, a new review finding) suggests the PR may no longer be clean."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rule is a prose description the classifier weighs,</w:t>
      </w:r>
      <w:r>
        <w:t xml:space="preserve"> </w:t>
      </w:r>
      <w:r>
        <w:t xml:space="preserve">not a hard gate,</w:t>
      </w:r>
      <w:r>
        <w:t xml:space="preserve"> </w:t>
      </w:r>
      <w:r>
        <w:t xml:space="preserve">and it had not yet been tested on a merge when this section was written.</w:t>
      </w:r>
      <w:r>
        <w:t xml:space="preserve"> </w:t>
      </w:r>
      <w:r>
        <w:t xml:space="preserve">If the classifier still blocks a merge,</w:t>
      </w:r>
      <w:r>
        <w:t xml:space="preserve"> </w:t>
      </w:r>
      <w:r>
        <w:t xml:space="preserve">leave auto mode and answer the permission prompt</w:t>
      </w:r>
      <w:r>
        <w:t xml:space="preserve"> </w:t>
      </w:r>
      <w:r>
        <w:t xml:space="preserve">(Anthropic 2026n)</w:t>
      </w:r>
      <w:r>
        <w:t xml:space="preserve">.</w:t>
      </w:r>
    </w:p>
    <w:bookmarkEnd w:id="30"/>
    <w:bookmarkStart w:id="32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2026z)</w:t>
      </w:r>
      <w:r>
        <w:t xml:space="preserve">.</w:t>
      </w:r>
    </w:p>
    <w:bookmarkEnd w:id="32"/>
    <w:bookmarkStart w:id="33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33"/>
    <w:bookmarkStart w:id="36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6"/>
    <w:bookmarkStart w:id="38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8"/>
    <w:bookmarkStart w:id="39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9"/>
    <w:bookmarkStart w:id="40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1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1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1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1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1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1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1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40"/>
    <w:bookmarkStart w:id="41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41"/>
    <w:bookmarkStart w:id="42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42"/>
    <w:bookmarkEnd w:id="43"/>
    <w:bookmarkStart w:id="48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4"/>
    <w:bookmarkStart w:id="4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5"/>
    <w:bookmarkStart w:id="4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6"/>
    <w:bookmarkStart w:id="4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7"/>
    <w:bookmarkEnd w:id="48"/>
    <w:bookmarkStart w:id="57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9"/>
    <w:bookmarkStart w:id="5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2"/>
    <w:bookmarkStart w:id="5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4"/>
    <w:bookmarkStart w:id="5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5"/>
    <w:bookmarkStart w:id="5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6"/>
    <w:bookmarkEnd w:id="57"/>
    <w:bookmarkStart w:id="67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0"/>
    <w:bookmarkStart w:id="6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5"/>
        </w:numPr>
      </w:pPr>
      <w:hyperlink r:id="rId6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5"/>
        </w:numPr>
      </w:pPr>
      <w:hyperlink r:id="rId6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5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64"/>
    <w:bookmarkStart w:id="6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6"/>
    <w:bookmarkEnd w:id="67"/>
    <w:bookmarkStart w:id="73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9"/>
    <w:bookmarkStart w:id="7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0"/>
    <w:bookmarkStart w:id="7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2"/>
    <w:bookmarkEnd w:id="73"/>
    <w:bookmarkStart w:id="116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9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9"/>
    <w:bookmarkStart w:id="88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7"/>
          <w:p/>
        </w:tc>
      </w:tr>
    </w:tbl>
    <w:bookmarkEnd w:id="88"/>
    <w:bookmarkStart w:id="99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2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3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5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7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8"/>
          <w:p/>
        </w:tc>
      </w:tr>
    </w:tbl>
    <w:bookmarkEnd w:id="99"/>
    <w:bookmarkStart w:id="101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1"/>
    <w:bookmarkStart w:id="104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2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4"/>
    <w:bookmarkStart w:id="106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9"/>
        </w:numPr>
      </w:pPr>
      <w:r>
        <w:t xml:space="preserve">OpenCode</w:t>
      </w:r>
    </w:p>
    <w:p>
      <w:pPr>
        <w:pStyle w:val="Compact"/>
        <w:numPr>
          <w:ilvl w:val="0"/>
          <w:numId w:val="1019"/>
        </w:numPr>
      </w:pPr>
      <w:r>
        <w:t xml:space="preserve">Codex CLI</w:t>
      </w:r>
    </w:p>
    <w:p>
      <w:pPr>
        <w:pStyle w:val="Compact"/>
        <w:numPr>
          <w:ilvl w:val="0"/>
          <w:numId w:val="1019"/>
        </w:numPr>
      </w:pPr>
      <w:r>
        <w:t xml:space="preserve">Cline</w:t>
      </w:r>
    </w:p>
    <w:p>
      <w:pPr>
        <w:pStyle w:val="Compact"/>
        <w:numPr>
          <w:ilvl w:val="0"/>
          <w:numId w:val="1019"/>
        </w:numPr>
      </w:pPr>
      <w:r>
        <w:t xml:space="preserve">Aider</w:t>
      </w:r>
    </w:p>
    <w:p>
      <w:pPr>
        <w:pStyle w:val="Compact"/>
        <w:numPr>
          <w:ilvl w:val="0"/>
          <w:numId w:val="1019"/>
        </w:numPr>
      </w:pPr>
      <w:r>
        <w:t xml:space="preserve">OpenHands</w:t>
      </w:r>
    </w:p>
    <w:p>
      <w:pPr>
        <w:pStyle w:val="Compact"/>
        <w:numPr>
          <w:ilvl w:val="0"/>
          <w:numId w:val="1019"/>
        </w:numPr>
      </w:pPr>
      <w:r>
        <w:t xml:space="preserve">Goose</w:t>
      </w:r>
    </w:p>
    <w:p>
      <w:pPr>
        <w:pStyle w:val="Compact"/>
        <w:numPr>
          <w:ilvl w:val="0"/>
          <w:numId w:val="1019"/>
        </w:numPr>
      </w:pPr>
      <w:r>
        <w:t xml:space="preserve">Continue</w:t>
      </w:r>
    </w:p>
    <w:p>
      <w:pPr>
        <w:pStyle w:val="Compact"/>
        <w:numPr>
          <w:ilvl w:val="0"/>
          <w:numId w:val="1019"/>
        </w:numPr>
      </w:pPr>
      <w:r>
        <w:t xml:space="preserve">Gemini CLI</w:t>
      </w:r>
    </w:p>
    <w:p>
      <w:pPr>
        <w:pStyle w:val="Compact"/>
        <w:numPr>
          <w:ilvl w:val="0"/>
          <w:numId w:val="1019"/>
        </w:numPr>
      </w:pPr>
      <w:r>
        <w:t xml:space="preserve">Pi</w:t>
      </w:r>
    </w:p>
    <w:p>
      <w:pPr>
        <w:pStyle w:val="Compact"/>
        <w:numPr>
          <w:ilvl w:val="0"/>
          <w:numId w:val="1019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0"/>
        </w:numPr>
      </w:pPr>
      <w:r>
        <w:t xml:space="preserve">Claude Code</w:t>
      </w:r>
    </w:p>
    <w:p>
      <w:pPr>
        <w:pStyle w:val="Compact"/>
        <w:numPr>
          <w:ilvl w:val="0"/>
          <w:numId w:val="1020"/>
        </w:numPr>
      </w:pPr>
      <w:r>
        <w:t xml:space="preserve">Cursor</w:t>
      </w:r>
    </w:p>
    <w:p>
      <w:pPr>
        <w:pStyle w:val="Compact"/>
        <w:numPr>
          <w:ilvl w:val="0"/>
          <w:numId w:val="1020"/>
        </w:numPr>
      </w:pPr>
      <w:r>
        <w:t xml:space="preserve">GitHub Copilot</w:t>
      </w:r>
    </w:p>
    <w:p>
      <w:pPr>
        <w:pStyle w:val="Compact"/>
        <w:numPr>
          <w:ilvl w:val="0"/>
          <w:numId w:val="1020"/>
        </w:numPr>
      </w:pPr>
      <w:r>
        <w:t xml:space="preserve">Devin</w:t>
      </w:r>
    </w:p>
    <w:p>
      <w:pPr>
        <w:pStyle w:val="Compact"/>
        <w:numPr>
          <w:ilvl w:val="0"/>
          <w:numId w:val="1020"/>
        </w:numPr>
      </w:pPr>
      <w:r>
        <w:t xml:space="preserve">Amp</w:t>
      </w:r>
    </w:p>
    <w:p>
      <w:pPr>
        <w:pStyle w:val="Compact"/>
        <w:numPr>
          <w:ilvl w:val="0"/>
          <w:numId w:val="1020"/>
        </w:numPr>
      </w:pPr>
      <w:r>
        <w:t xml:space="preserve">Antigravity</w:t>
      </w:r>
    </w:p>
    <w:p>
      <w:pPr>
        <w:pStyle w:val="Compact"/>
        <w:numPr>
          <w:ilvl w:val="0"/>
          <w:numId w:val="1020"/>
        </w:numPr>
      </w:pPr>
      <w:r>
        <w:t xml:space="preserve">Replit Agent</w:t>
      </w:r>
    </w:p>
    <w:p>
      <w:pPr>
        <w:pStyle w:val="Compact"/>
        <w:numPr>
          <w:ilvl w:val="0"/>
          <w:numId w:val="1020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6"/>
    <w:bookmarkStart w:id="109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7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9"/>
    <w:bookmarkStart w:id="113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10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1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2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3"/>
    <w:bookmarkStart w:id="1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5"/>
    <w:bookmarkEnd w:id="116"/>
    <w:bookmarkStart w:id="138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7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7"/>
    <w:bookmarkStart w:id="125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3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3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3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7"/>
    <w:bookmarkStart w:id="128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8"/>
    <w:bookmarkStart w:id="129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9"/>
    <w:bookmarkStart w:id="130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4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4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4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4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4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30"/>
    <w:bookmarkStart w:id="131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31"/>
    <w:bookmarkStart w:id="132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2"/>
    <w:bookmarkStart w:id="135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3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34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5"/>
    <w:bookmarkStart w:id="136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6"/>
    <w:bookmarkStart w:id="137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6"/>
        </w:numPr>
      </w:pPr>
      <w:r>
        <w:t xml:space="preserve">191 skills;</w:t>
      </w:r>
    </w:p>
    <w:p>
      <w:pPr>
        <w:pStyle w:val="Compact"/>
        <w:numPr>
          <w:ilvl w:val="0"/>
          <w:numId w:val="1026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6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6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7"/>
    <w:bookmarkEnd w:id="138"/>
    <w:bookmarkStart w:id="188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9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40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42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42"/>
    <w:bookmarkStart w:id="168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9"/>
        </w:numPr>
      </w:pPr>
      <w:hyperlink r:id="rId143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9"/>
        </w:numPr>
      </w:pPr>
      <w:hyperlink r:id="rId144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5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30"/>
        </w:numPr>
      </w:pPr>
      <w:hyperlink r:id="rId146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30"/>
        </w:numPr>
      </w:pPr>
      <w:hyperlink r:id="rId147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9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31"/>
        </w:numPr>
      </w:pPr>
      <w:hyperlink r:id="rId150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31"/>
        </w:numPr>
      </w:pPr>
      <w:hyperlink r:id="rId151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52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2"/>
        </w:numPr>
      </w:pPr>
      <w:hyperlink r:id="rId15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5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2"/>
        </w:numPr>
      </w:pPr>
      <w:hyperlink r:id="rId15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2"/>
        </w:numPr>
      </w:pPr>
      <w:hyperlink r:id="rId15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9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2"/>
        </w:numPr>
      </w:pPr>
      <w:hyperlink r:id="rId160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2"/>
        </w:numPr>
      </w:pPr>
      <w:hyperlink r:id="rId161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3"/>
        </w:numPr>
      </w:pPr>
      <w:hyperlink r:id="rId162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3"/>
        </w:numPr>
      </w:pPr>
      <w:hyperlink r:id="rId163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64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hyperlink r:id="rId165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6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7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8"/>
    <w:bookmarkStart w:id="1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4"/>
        </w:numPr>
      </w:pPr>
      <w:hyperlink r:id="rId169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hyperlink r:id="rId170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4"/>
        </w:numPr>
      </w:pPr>
      <w:hyperlink r:id="rId17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73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4"/>
        </w:numPr>
      </w:pPr>
      <w:hyperlink r:id="rId1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4"/>
        </w:numPr>
      </w:pPr>
      <w:hyperlink r:id="rId1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4"/>
        </w:numPr>
      </w:pPr>
      <w:hyperlink r:id="rId1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4"/>
        </w:numPr>
      </w:pPr>
      <w:hyperlink r:id="rId1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hyperlink r:id="rId1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82"/>
    <w:bookmarkStart w:id="1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5"/>
        </w:numPr>
      </w:pPr>
      <w:hyperlink r:id="rId1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5"/>
        </w:numPr>
      </w:pPr>
      <w:hyperlink r:id="rId1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5"/>
    <w:bookmarkStart w:id="1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40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6"/>
    <w:bookmarkStart w:id="1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6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7"/>
    <w:bookmarkEnd w:id="188"/>
    <w:bookmarkStart w:id="198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9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93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90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91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8"/>
        </w:numPr>
      </w:pPr>
      <w:r>
        <w:t xml:space="preserve">in-process memory</w:t>
      </w:r>
    </w:p>
    <w:p>
      <w:pPr>
        <w:pStyle w:val="Compact"/>
        <w:numPr>
          <w:ilvl w:val="1"/>
          <w:numId w:val="1038"/>
        </w:numPr>
      </w:pPr>
      <w:r>
        <w:t xml:space="preserve">LibSQL/SQLite</w:t>
      </w:r>
    </w:p>
    <w:p>
      <w:pPr>
        <w:pStyle w:val="Compact"/>
        <w:numPr>
          <w:ilvl w:val="1"/>
          <w:numId w:val="1038"/>
        </w:numPr>
      </w:pPr>
      <w:r>
        <w:t xml:space="preserve">PostgreSQL</w:t>
      </w:r>
    </w:p>
    <w:p>
      <w:pPr>
        <w:pStyle w:val="Compact"/>
        <w:numPr>
          <w:ilvl w:val="1"/>
          <w:numId w:val="1038"/>
        </w:numPr>
      </w:pPr>
      <w:r>
        <w:t xml:space="preserve">Supabase</w:t>
      </w:r>
    </w:p>
    <w:p>
      <w:pPr>
        <w:pStyle w:val="Compact"/>
        <w:numPr>
          <w:ilvl w:val="1"/>
          <w:numId w:val="1038"/>
        </w:numPr>
      </w:pPr>
      <w:r>
        <w:t xml:space="preserve">Cloudflare D1</w:t>
      </w:r>
    </w:p>
    <w:p>
      <w:pPr>
        <w:pStyle w:val="Compact"/>
        <w:numPr>
          <w:ilvl w:val="1"/>
          <w:numId w:val="103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92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93"/>
    <w:bookmarkStart w:id="194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94"/>
    <w:bookmarkStart w:id="19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5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6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7"/>
    <w:bookmarkEnd w:id="198"/>
    <w:bookmarkStart w:id="208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201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201"/>
    <w:bookmarkStart w:id="203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2026p)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203"/>
    <w:bookmarkStart w:id="205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204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2026v)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4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4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5"/>
    <w:bookmarkStart w:id="206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73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6"/>
    <w:bookmarkStart w:id="207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204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7"/>
    <w:bookmarkEnd w:id="208"/>
    <w:bookmarkStart w:id="328" w:name="references"/>
    <w:p>
      <w:pPr>
        <w:pStyle w:val="Heading1"/>
      </w:pPr>
      <w:r>
        <w:t xml:space="preserve">References</w:t>
      </w:r>
    </w:p>
    <w:bookmarkStart w:id="327" w:name="refs"/>
    <w:bookmarkStart w:id="209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6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9"/>
    <w:bookmarkStart w:id="21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1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11"/>
    <w:bookmarkStart w:id="213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12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13"/>
    <w:bookmarkStart w:id="215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1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5"/>
    <w:bookmarkStart w:id="217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7"/>
    <w:bookmarkStart w:id="219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9"/>
    <w:bookmarkStart w:id="221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2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21"/>
    <w:bookmarkStart w:id="223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23"/>
    <w:bookmarkStart w:id="225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24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5"/>
    <w:bookmarkStart w:id="227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7"/>
    <w:bookmarkStart w:id="229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8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9"/>
    <w:bookmarkStart w:id="231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30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31"/>
    <w:bookmarkStart w:id="233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3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33"/>
    <w:bookmarkStart w:id="235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5"/>
    <w:bookmarkStart w:id="237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7"/>
    <w:bookmarkStart w:id="239" w:name="ref-claude_code_permission_mode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Choose a Permission Mode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https://code.claude.com/docs/en/permission-modes</w:t>
        </w:r>
      </w:hyperlink>
      <w:r>
        <w:t xml:space="preserve">.</w:t>
      </w:r>
    </w:p>
    <w:bookmarkEnd w:id="239"/>
    <w:bookmarkStart w:id="240" w:name="ref-claude_code_changelog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40"/>
    <w:bookmarkStart w:id="242" w:name="Xea89bf890c1435f10c5e1afa0952be3a48628f8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42"/>
    <w:bookmarkStart w:id="244" w:name="ref-claude_code_auto_mode_config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Configure Auto Mode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https://code.claude.com/docs/en/auto-mode-config</w:t>
        </w:r>
      </w:hyperlink>
      <w:r>
        <w:t xml:space="preserve">.</w:t>
      </w:r>
    </w:p>
    <w:bookmarkEnd w:id="244"/>
    <w:bookmarkStart w:id="246" w:name="ref-claude_code_permissio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45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46"/>
    <w:bookmarkStart w:id="248" w:name="ref-claude_code_subagent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48"/>
    <w:bookmarkStart w:id="250" w:name="ref-claude_code_plugi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50"/>
    <w:bookmarkStart w:id="252" w:name="ref-claude_code_env_var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52"/>
    <w:bookmarkStart w:id="254" w:name="Xf04ee902643acca60cff84dc2fcb508ef114f4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5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54"/>
    <w:bookmarkStart w:id="256" w:name="ref-claude_code_context_window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56"/>
    <w:bookmarkStart w:id="258" w:name="ref-claude_code_hooks_reference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58"/>
    <w:bookmarkStart w:id="260" w:name="ref-claude_code_how_it_works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9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60"/>
    <w:bookmarkStart w:id="262" w:name="ref-claude_code_memory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62"/>
    <w:bookmarkStart w:id="264" w:name="ref-claude_code_tool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64"/>
    <w:bookmarkStart w:id="266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65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66"/>
    <w:bookmarkStart w:id="268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67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68"/>
    <w:bookmarkStart w:id="270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9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70"/>
    <w:bookmarkStart w:id="272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71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72"/>
    <w:bookmarkStart w:id="274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73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74"/>
    <w:bookmarkStart w:id="27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76"/>
    <w:bookmarkStart w:id="27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77"/>
    <w:bookmarkStart w:id="27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78"/>
    <w:bookmarkStart w:id="27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9"/>
    <w:bookmarkStart w:id="28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80"/>
    <w:bookmarkStart w:id="28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8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81"/>
    <w:bookmarkStart w:id="28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82"/>
    <w:bookmarkStart w:id="28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83"/>
    <w:bookmarkStart w:id="28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84"/>
    <w:bookmarkStart w:id="28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62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85"/>
    <w:bookmarkStart w:id="28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86"/>
    <w:bookmarkStart w:id="28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87"/>
    <w:bookmarkStart w:id="28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5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88"/>
    <w:bookmarkStart w:id="28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52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9"/>
    <w:bookmarkStart w:id="291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90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91"/>
    <w:bookmarkStart w:id="29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92"/>
    <w:bookmarkStart w:id="29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70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93"/>
    <w:bookmarkStart w:id="29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95"/>
    <w:bookmarkStart w:id="29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9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97"/>
    <w:bookmarkStart w:id="29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9"/>
    <w:bookmarkStart w:id="30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30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301"/>
    <w:bookmarkStart w:id="30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302"/>
    <w:bookmarkStart w:id="30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1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303"/>
    <w:bookmarkStart w:id="305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304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305"/>
    <w:bookmarkStart w:id="30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306"/>
    <w:bookmarkStart w:id="30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3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307"/>
    <w:bookmarkStart w:id="30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308"/>
    <w:bookmarkStart w:id="309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9"/>
    <w:bookmarkStart w:id="311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10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11"/>
    <w:bookmarkStart w:id="313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12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13"/>
    <w:bookmarkStart w:id="315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15"/>
    <w:bookmarkStart w:id="317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17"/>
    <w:bookmarkStart w:id="319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9"/>
    <w:bookmarkStart w:id="321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21"/>
    <w:bookmarkStart w:id="322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9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22"/>
    <w:bookmarkStart w:id="324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23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24"/>
    <w:bookmarkStart w:id="326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25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26"/>
    <w:bookmarkEnd w:id="327"/>
    <w:bookmarkEnd w:id="3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2026-10-06T08:44:14Z</dcterms:created>
  <dcterms:modified xsi:type="dcterms:W3CDTF">2026-10-06T08:44:14Z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