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Working with AI</w:t>
      </w:r>
    </w:p>
    <w:p>
      <w:pPr>
        <w:pStyle w:val="Date"/>
      </w:pPr>
      <w:r>
        <w:t xml:space="preserve">Last modified: 2026-08-27 00:29:31 (PDT)</w:t>
      </w:r>
    </w:p>
    <w:p>
      <w:pPr>
        <w:pStyle w:val="FirstParagraph"/>
      </w:pPr>
      <w:r>
        <w:t xml:space="preserve">This site collects the UCD-SERG lab’s notes on working responsibly and</w:t>
      </w:r>
      <w:r>
        <w:t xml:space="preserve"> </w:t>
      </w:r>
      <w:r>
        <w:t xml:space="preserve">effectively with AI coding assistants: what they are, how to use them, and</w:t>
      </w:r>
      <w:r>
        <w:t xml:space="preserve"> </w:t>
      </w:r>
      <w:r>
        <w:t xml:space="preserve">the policies lab members follow when using them.</w:t>
      </w:r>
      <w:r>
        <w:t xml:space="preserve"> </w:t>
      </w:r>
      <w:r>
        <w:t xml:space="preserve">It was migrated out of the</w:t>
      </w:r>
      <w:r>
        <w:t xml:space="preserve"> </w:t>
      </w:r>
      <w:hyperlink r:id="rId9">
        <w:r>
          <w:rPr>
            <w:rStyle w:val="Hyperlink"/>
          </w:rPr>
          <w:t xml:space="preserve">UCD-SERG Lab Manual</w:t>
        </w:r>
      </w:hyperlink>
      <w:r>
        <w:t xml:space="preserve">’s</w:t>
      </w:r>
      <w:r>
        <w:t xml:space="preserve"> </w:t>
      </w:r>
      <w:r>
        <w:t xml:space="preserve">“Working with</w:t>
      </w:r>
      <w:r>
        <w:t xml:space="preserve"> </w:t>
      </w:r>
      <w:r>
        <w:t xml:space="preserve">AI”</w:t>
      </w:r>
      <w:r>
        <w:t xml:space="preserve"> </w:t>
      </w:r>
      <w:r>
        <w:t xml:space="preserve">chapter, which had grown large enough to deserve a dedicated site.</w:t>
      </w:r>
      <w:r>
        <w:t xml:space="preserve"> </w:t>
      </w:r>
      <w:r>
        <w:t xml:space="preserve">For the lab’s broader coding, reproducibility, and collaboration</w:t>
      </w:r>
      <w:r>
        <w:t xml:space="preserve"> </w:t>
      </w:r>
      <w:r>
        <w:t xml:space="preserve">conventions, see the lab manual itself.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8" w:name="chapters"/>
    <w:p>
      <w:pPr>
        <w:pStyle w:val="Heading2"/>
      </w:pPr>
      <w:r>
        <w:t xml:space="preserve">1 Chapters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  <w:b/>
            <w:bCs/>
          </w:rPr>
          <w:t xml:space="preserve">Policies for Using AI</w:t>
        </w:r>
      </w:hyperlink>
      <w:r>
        <w:t xml:space="preserve">:</w:t>
      </w:r>
      <w:r>
        <w:t xml:space="preserve"> </w:t>
      </w:r>
      <w:r>
        <w:t xml:space="preserve">responsibility for validation, disclosure, attribution, and using AI for</w:t>
      </w:r>
      <w:r>
        <w:t xml:space="preserve"> </w:t>
      </w:r>
      <w:r>
        <w:t xml:space="preserve">journal articles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  <w:b/>
            <w:bCs/>
          </w:rPr>
          <w:t xml:space="preserve">Coding Agents</w:t>
        </w:r>
      </w:hyperlink>
      <w:r>
        <w:t xml:space="preserve">:</w:t>
      </w:r>
      <w:r>
        <w:t xml:space="preserve"> </w:t>
      </w:r>
      <w:r>
        <w:t xml:space="preserve">what language models, coding agents, and harnesses are; how to work with</w:t>
      </w:r>
      <w:r>
        <w:t xml:space="preserve"> </w:t>
      </w:r>
      <w:r>
        <w:t xml:space="preserve">them; benefits, hazards, and best practices; and configuring your</w:t>
      </w:r>
      <w:r>
        <w:t xml:space="preserve"> </w:t>
      </w:r>
      <w:r>
        <w:t xml:space="preserve">environment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  <w:b/>
            <w:bCs/>
          </w:rPr>
          <w:t xml:space="preserve">Orchestrating Teams of Agents</w:t>
        </w:r>
      </w:hyperlink>
      <w:r>
        <w:t xml:space="preserve">:</w:t>
      </w:r>
      <w:r>
        <w:t xml:space="preserve"> </w:t>
      </w:r>
      <w:r>
        <w:t xml:space="preserve">when running several agents at once is worth the cost, what we already use</w:t>
      </w:r>
      <w:r>
        <w:t xml:space="preserve"> </w:t>
      </w:r>
      <w:r>
        <w:t xml:space="preserve">for it, and how three outside orchestrators (Agent Teams, Inflexa, TORQCLAW)</w:t>
      </w:r>
      <w:r>
        <w:t xml:space="preserve"> </w:t>
      </w:r>
      <w:r>
        <w:t xml:space="preserve">compare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  <w:b/>
            <w:bCs/>
          </w:rPr>
          <w:t xml:space="preserve">Grok Bot and Alternatives</w:t>
        </w:r>
      </w:hyperlink>
      <w:r>
        <w:t xml:space="preserve">:</w:t>
      </w:r>
      <w:r>
        <w:t xml:space="preserve"> </w:t>
      </w:r>
      <w:r>
        <w:t xml:space="preserve">persistent teammates with their own computer (Grok Bot, Rakazo, OpenClaw,</w:t>
      </w:r>
      <w:r>
        <w:t xml:space="preserve"> </w:t>
      </w:r>
      <w:r>
        <w:t xml:space="preserve">Claude Cowork, ChatGPT Work) and how they differ from our coding-agent stack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  <w:b/>
            <w:bCs/>
          </w:rPr>
          <w:t xml:space="preserve">Pull-Request Workflow with Agents</w:t>
        </w:r>
      </w:hyperlink>
      <w:r>
        <w:t xml:space="preserve">:</w:t>
      </w:r>
      <w:r>
        <w:t xml:space="preserve"> </w:t>
      </w:r>
      <w:r>
        <w:t xml:space="preserve">filing issues, claiming work, and driving a pull request to a clean,</w:t>
      </w:r>
      <w:r>
        <w:t xml:space="preserve"> </w:t>
      </w:r>
      <w:r>
        <w:t xml:space="preserve">mergeable state</w:t>
      </w:r>
    </w:p>
    <w:p>
      <w:pPr>
        <w:pStyle w:val="FirstParagraph"/>
      </w:pPr>
      <w:r>
        <w:t xml:space="preserve">The notes are available in multiple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End w:id="18"/>
    <w:bookmarkStart w:id="21" w:name="about-this-website"/>
    <w:p>
      <w:pPr>
        <w:pStyle w:val="Heading2"/>
      </w:pPr>
      <w:r>
        <w:t xml:space="preserve">2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1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system, from the</w:t>
      </w:r>
      <w:r>
        <w:t xml:space="preserve"> </w:t>
      </w:r>
      <w:hyperlink r:id="rId20">
        <w:r>
          <w:rPr>
            <w:rStyle w:val="Hyperlink"/>
          </w:rPr>
          <w:t xml:space="preserve">UCD-SERG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qwt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(Quarto Website Template)</w:t>
        </w:r>
      </w:hyperlink>
      <w:r>
        <w:t xml:space="preserve">.</w:t>
      </w:r>
    </w:p>
    <w:bookmarkEnd w:id="21"/>
    <w:bookmarkStart w:id="22" w:name="building-the-website"/>
    <w:p>
      <w:pPr>
        <w:pStyle w:val="Heading2"/>
      </w:pPr>
      <w:r>
        <w:t xml:space="preserve">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is published to GitHub Pages.</w:t>
      </w:r>
    </w:p>
    <w:bookmarkEnd w:id="22"/>
    <w:bookmarkStart w:id="24" w:name="license"/>
    <w:p>
      <w:pPr>
        <w:pStyle w:val="Heading2"/>
      </w:pPr>
      <w:r>
        <w:t xml:space="preserve">4 License</w:t>
      </w:r>
    </w:p>
    <w:p>
      <w:pPr>
        <w:pStyle w:val="FirstParagraph"/>
      </w:pPr>
      <w:r>
        <w:t xml:space="preserve">See</w:t>
      </w:r>
      <w:r>
        <w:t xml:space="preserve"> </w:t>
      </w:r>
      <w:hyperlink r:id="rId23">
        <w:r>
          <w:rPr>
            <w:rStyle w:val="VerbatimChar"/>
          </w:rPr>
          <w:t xml:space="preserve">LICENSE</w:t>
        </w:r>
      </w:hyperlink>
      <w:r>
        <w:t xml:space="preserve">.</w:t>
      </w:r>
    </w:p>
    <w:bookmarkEnd w:id="24"/>
    <w:bookmarkStart w:id="26" w:name="references"/>
    <w:p>
      <w:pPr>
        <w:pStyle w:val="Heading2"/>
      </w:pPr>
      <w:r>
        <w:t xml:space="preserve">References</w:t>
      </w:r>
    </w:p>
    <w:bookmarkStart w:id="25" w:name="refs"/>
    <w:bookmarkEnd w:id="25"/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chapters/agent-orchestration.qmd" TargetMode="External" /><Relationship Type="http://schemas.openxmlformats.org/officeDocument/2006/relationships/hyperlink" Id="rId13" Target="chapters/ai-use-policies.qmd" TargetMode="External" /><Relationship Type="http://schemas.openxmlformats.org/officeDocument/2006/relationships/hyperlink" Id="rId14" Target="chapters/coding-agents.qmd" TargetMode="External" /><Relationship Type="http://schemas.openxmlformats.org/officeDocument/2006/relationships/hyperlink" Id="rId16" Target="chapters/grok-bot-and-alternatives.qmd" TargetMode="External" /><Relationship Type="http://schemas.openxmlformats.org/officeDocument/2006/relationships/hyperlink" Id="rId17" Target="chapters/pr-workflow-with-agents.qmd" TargetMode="External" /><Relationship Type="http://schemas.openxmlformats.org/officeDocument/2006/relationships/hyperlink" Id="rId20" Target="https://github.com/UCD-SERG/qwt" TargetMode="External" /><Relationship Type="http://schemas.openxmlformats.org/officeDocument/2006/relationships/hyperlink" Id="rId23" Target="https://github.com/d-morrison/wai/blob/main/LICENSE" TargetMode="External" /><Relationship Type="http://schemas.openxmlformats.org/officeDocument/2006/relationships/hyperlink" Id="rId19" Target="https://quarto.org/" TargetMode="External" /><Relationship Type="http://schemas.openxmlformats.org/officeDocument/2006/relationships/hyperlink" Id="rId9" Target="https://ucd-serg.github.io/lab-manual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Working with AI</dc:title>
  <dc:creator/>
  <cp:keywords/>
  <dcterms:created xsi:type="dcterms:W3CDTF">2026-08-27T07:33:38Z</dcterms:created>
  <dcterms:modified xsi:type="dcterms:W3CDTF">2026-08-27T07:33:38Z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2026-08-27 00:29:31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