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1.png" ContentType="image/png"/>
  <Override PartName="/word/media/rId3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Configuring and Extending Agents</w:t>
      </w:r>
    </w:p>
    <w:p>
      <w:pPr>
        <w:pStyle w:val="Date"/>
      </w:pPr>
      <w:r>
        <w:t xml:space="preserve">Last modified: 2026-10-05 03:10:24 (PDT)</w:t>
      </w:r>
    </w:p>
    <w:p>
      <w:pPr>
        <w:pStyle w:val="FirstParagraph"/>
      </w:pPr>
      <w:r>
        <w:t xml:space="preserve">Coding agents adapt to a project through configuration files,</w:t>
      </w:r>
      <w:r>
        <w:t xml:space="preserve"> </w:t>
      </w:r>
      <w:r>
        <w:t xml:space="preserve">instruction prompts, tool definitions, and plugins.</w:t>
      </w:r>
      <w:r>
        <w:t xml:space="preserve"> </w:t>
      </w:r>
      <w:r>
        <w:t xml:space="preserve">This chapter explains how to configure agent environments,</w:t>
      </w:r>
      <w:r>
        <w:t xml:space="preserve"> </w:t>
      </w:r>
      <w:r>
        <w:t xml:space="preserve">install project-level instructions,</w:t>
      </w:r>
      <w:r>
        <w:t xml:space="preserve"> </w:t>
      </w:r>
      <w:r>
        <w:t xml:space="preserve">author and share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connect external capabilities via the Model Context Protocol (MCP),</w:t>
      </w:r>
      <w:r>
        <w:t xml:space="preserve"> </w:t>
      </w:r>
      <w:r>
        <w:t xml:space="preserve">structure agent plugins,</w:t>
      </w:r>
      <w:r>
        <w:t xml:space="preserve"> </w:t>
      </w:r>
      <w:r>
        <w:t xml:space="preserve">and use advanced developer extensions like Magic Context, Conductor,</w:t>
      </w:r>
      <w:r>
        <w:t xml:space="preserve"> </w:t>
      </w:r>
      <w:r>
        <w:t xml:space="preserve">and the Antigravity Python SDK.</w:t>
      </w:r>
    </w:p>
    <w:bookmarkStart w:id="22" w:name="sec-ai-copilot-settings"/>
    <w:p>
      <w:pPr>
        <w:pStyle w:val="Heading1"/>
      </w:pPr>
      <w:r>
        <w:t xml:space="preserve">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2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9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0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1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2"/>
    <w:bookmarkStart w:id="17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11"/>
        </w:numPr>
      </w:pPr>
      <w:r>
        <w:t xml:space="preserve">Go to the</w:t>
      </w:r>
      <w:r>
        <w:t xml:space="preserve"> </w:t>
      </w:r>
      <w:hyperlink r:id="rId13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11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4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"/>
    <w:bookmarkStart w:id="18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"/>
    <w:bookmarkStart w:id="20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0"/>
    <w:bookmarkStart w:id="21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32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32"/>
        </w:numPr>
      </w:pPr>
      <w:r>
        <w:t xml:space="preserve">Web search capability</w:t>
      </w:r>
    </w:p>
    <w:p>
      <w:pPr>
        <w:pStyle w:val="Compact"/>
        <w:numPr>
          <w:ilvl w:val="0"/>
          <w:numId w:val="1032"/>
        </w:numPr>
      </w:pPr>
      <w:r>
        <w:t xml:space="preserve">Dashboard Entry Point</w:t>
      </w:r>
    </w:p>
    <w:p>
      <w:pPr>
        <w:pStyle w:val="Compact"/>
        <w:numPr>
          <w:ilvl w:val="0"/>
          <w:numId w:val="1032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32"/>
        </w:numPr>
      </w:pPr>
      <w:r>
        <w:t xml:space="preserve">Copilot coding agent</w:t>
      </w:r>
    </w:p>
    <w:p>
      <w:pPr>
        <w:pStyle w:val="Compact"/>
        <w:numPr>
          <w:ilvl w:val="0"/>
          <w:numId w:val="1032"/>
        </w:numPr>
      </w:pPr>
      <w:r>
        <w:t xml:space="preserve">Copilot Memory</w:t>
      </w:r>
    </w:p>
    <w:p>
      <w:pPr>
        <w:pStyle w:val="Compact"/>
        <w:numPr>
          <w:ilvl w:val="0"/>
          <w:numId w:val="1032"/>
        </w:numPr>
      </w:pPr>
      <w:r>
        <w:t xml:space="preserve">MCP servers (if configured)</w:t>
      </w:r>
    </w:p>
    <w:p>
      <w:pPr>
        <w:pStyle w:val="Compact"/>
        <w:numPr>
          <w:ilvl w:val="0"/>
          <w:numId w:val="1032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32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33"/>
        </w:numPr>
      </w:pPr>
      <w:r>
        <w:t xml:space="preserve">Default: Claude Sonnet 4.5</w:t>
      </w:r>
    </w:p>
    <w:p>
      <w:pPr>
        <w:pStyle w:val="Compact"/>
        <w:numPr>
          <w:ilvl w:val="0"/>
          <w:numId w:val="1033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33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34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34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).</w:t>
      </w:r>
    </w:p>
    <w:bookmarkEnd w:id="21"/>
    <w:bookmarkEnd w:id="22"/>
    <w:bookmarkStart w:id="45" w:name="sec-ai-byok-vscode"/>
    <w:p>
      <w:pPr>
        <w:pStyle w:val="Heading1"/>
      </w:pPr>
      <w:r>
        <w:t xml:space="preserve">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3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">
        <w:r>
          <w:rPr>
            <w:rStyle w:val="Hyperlink"/>
          </w:rPr>
          <w:t xml:space="preserve">Databricks model catalog</w:t>
        </w:r>
      </w:hyperlink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That set is GPT-5.5 Pro, GPT-5.5, and GPT-5.3 Codex (measured 2026-09-09).</w:t>
      </w:r>
      <w:r>
        <w:t xml:space="preserve"> </w:t>
      </w:r>
      <w:r>
        <w:t xml:space="preserve">It is not a Codex-family property:</w:t>
      </w:r>
      <w:r>
        <w:t xml:space="preserve"> </w:t>
      </w:r>
      <w:r>
        <w:t xml:space="preserve">GPT-5.5 and GPT-5.5 Pro are in the set and are not Codex models.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gpt-5-2-codex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gpt-5-1-codex-max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gpt-5-1-codex-mini</w:t>
      </w:r>
      <w:r>
        <w:t xml:space="preserve"> </w:t>
      </w:r>
      <w:r>
        <w:t xml:space="preserve">endpoints that earlier configurations also set to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no longer appear in the catalog (measured 2026-09-09).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"/>
    <w:bookmarkStart w:id="28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GPT-6 Astra and 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GLM 5.3/5.3 Flash/5.2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Grok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Kimi K3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Pro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Qwen3.5 122B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ITPM / OTPM column is the Enterprise-tier pay-per-token limit from</w:t>
      </w:r>
      <w:r>
        <w:t xml:space="preserve"> </w:t>
      </w:r>
      <w:r>
        <w:t xml:space="preserve">the Databricks limits page</w:t>
      </w:r>
      <w:r>
        <w:t xml:space="preserve"> </w:t>
      </w:r>
      <w:r>
        <w:t xml:space="preserve">(Databricks 2026a)</w:t>
      </w:r>
      <w:r>
        <w:t xml:space="preserve">,</w:t>
      </w:r>
      <w:r>
        <w:t xml:space="preserve"> </w:t>
      </w:r>
      <w:r>
        <w:t xml:space="preserve">and the endpoint names are from the model catalog</w:t>
      </w:r>
      <w:r>
        <w:t xml:space="preserve"> </w:t>
      </w:r>
      <w:r>
        <w:t xml:space="preserve">(Databricks 2026b)</w:t>
      </w:r>
      <w:r>
        <w:t xml:space="preserve">,</w:t>
      </w:r>
      <w:r>
        <w:t xml:space="preserve"> </w:t>
      </w:r>
      <w:r>
        <w:t xml:space="preserve">both measured 2026-09-09.</w:t>
      </w:r>
      <w:r>
        <w:t xml:space="preserve"> </w:t>
      </w:r>
      <w:r>
        <w:t xml:space="preserve">The endpoint ids for the rows added on that date are</w:t>
      </w:r>
      <w:r>
        <w:t xml:space="preserve"> </w:t>
      </w:r>
      <w:r>
        <w:rPr>
          <w:rStyle w:val="VerbatimChar"/>
        </w:rPr>
        <w:t xml:space="preserve">databricks-gpt-6-astra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databricks-grok-4-6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databricks-kimi-k3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databricks-deepseek-v4-flash-0731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databricks-deepseek-v4-pro-0813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databricks-qwen35-122b-a10b</w:t>
      </w:r>
      <w:r>
        <w:t xml:space="preserve">.</w:t>
      </w:r>
      <w:r>
        <w:t xml:space="preserve"> </w:t>
      </w:r>
      <w:r>
        <w:t xml:space="preserve">The context column is a quota-derived working value,</w:t>
      </w:r>
      <w:r>
        <w:t xml:space="preserve"> </w:t>
      </w:r>
      <w:r>
        <w:t xml:space="preserve">not a provider window.</w:t>
      </w:r>
      <w:r>
        <w:t xml:space="preserve"> </w:t>
      </w:r>
      <w:r>
        <w:t xml:space="preserve">The catalog gives 1 million tokens of context for GLM, Kimi K3, and Inkling,</w:t>
      </w:r>
      <w:r>
        <w:t xml:space="preserve"> </w:t>
      </w:r>
      <w:r>
        <w:t xml:space="preserve">and no window at all for either DeepSeek endpoint (measured 2026-09-09);</w:t>
      </w:r>
      <w:r>
        <w:t xml:space="preserve"> </w:t>
      </w:r>
      <w:r>
        <w:t xml:space="preserve">on a 200,000 ITPM tier a 1 million-token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overruns</w:t>
      </w:r>
      <w:r>
        <w:t xml:space="preserve"> </w:t>
      </w:r>
      <w:r>
        <w:t xml:space="preserve">every budget in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.</w:t>
      </w:r>
      <w:r>
        <w:t xml:space="preserve"> </w:t>
      </w:r>
      <w:r>
        <w:t xml:space="preserve">Qwen3.5’s 256K window and 25K output cap (measured 2026-09-09)</w:t>
      </w:r>
      <w:r>
        <w:t xml:space="preserve"> </w:t>
      </w:r>
      <w:r>
        <w:t xml:space="preserve">sit on the 1,000,000 tier,</w:t>
      </w:r>
      <w:r>
        <w:t xml:space="preserve"> </w:t>
      </w:r>
      <w:r>
        <w:t xml:space="preserve">so its row copies the GPT OSS values,</w:t>
      </w:r>
      <w:r>
        <w:t xml:space="preserve"> </w:t>
      </w:r>
      <w:r>
        <w:t xml:space="preserve">and its 25,000 output cap is the provider figure,</w:t>
      </w:r>
      <w:r>
        <w:t xml:space="preserve"> </w:t>
      </w:r>
      <w:r>
        <w:t xml:space="preserve">which that tier’s 100,000 OTPM admits.</w:t>
      </w:r>
      <w:r>
        <w:t xml:space="preserve"> </w:t>
      </w:r>
      <w:r>
        <w:rPr>
          <w:rStyle w:val="VerbatimChar"/>
        </w:rPr>
        <w:t xml:space="preserve">databricks-inkling</w:t>
      </w:r>
      <w:r>
        <w:t xml:space="preserve"> </w:t>
      </w:r>
      <w:r>
        <w:t xml:space="preserve">is a real catalog endpoint,</w:t>
      </w:r>
      <w:r>
        <w:t xml:space="preserve"> </w:t>
      </w:r>
      <w:r>
        <w:t xml:space="preserve">listed under Thinking Machine Labs as a Public Preview model</w:t>
      </w:r>
      <w:r>
        <w:t xml:space="preserve"> </w:t>
      </w:r>
      <w:r>
        <w:t xml:space="preserve">that always reasons (measured 2026-09-09),</w:t>
      </w:r>
      <w:r>
        <w:t xml:space="preserve"> </w:t>
      </w:r>
      <w:r>
        <w:t xml:space="preserve">so its row documents a live deployment rather than a local alias.</w:t>
      </w:r>
      <w:r>
        <w:t xml:space="preserve"> </w:t>
      </w:r>
      <w:r>
        <w:t xml:space="preserve">The output cap is a per-request ceiling that most turns never reach,</w:t>
      </w:r>
      <w:r>
        <w:t xml:space="preserve"> </w:t>
      </w:r>
      <w:r>
        <w:t xml:space="preserve">which is why the 20,000 OTPM rows carry a 16,000 cap</w:t>
      </w:r>
      <w:r>
        <w:t xml:space="preserve"> </w:t>
      </w:r>
      <w:r>
        <w:t xml:space="preserve">at four requests per minute.</w:t>
      </w:r>
      <w:r>
        <w:t xml:space="preserve"> </w:t>
      </w:r>
      <w:r>
        <w:t xml:space="preserve">A 4,000 OTPM tier has no such slack:</w:t>
      </w:r>
      <w:r>
        <w:t xml:space="preserve"> </w:t>
      </w:r>
      <w:r>
        <w:t xml:space="preserve">DeepSeek V4 Pro’s 2,000 cap and 30,000 ms delay keep two requests</w:t>
      </w:r>
      <w:r>
        <w:t xml:space="preserve"> </w:t>
      </w:r>
      <w:r>
        <w:t xml:space="preserve">inside the allowance,</w:t>
      </w:r>
      <w:r>
        <w:t xml:space="preserve"> </w:t>
      </w:r>
      <w:r>
        <w:t xml:space="preserve">and 2,000 tokens is too little for an agent-mode edit,</w:t>
      </w:r>
      <w:r>
        <w:t xml:space="preserve"> </w:t>
      </w:r>
      <w:r>
        <w:t xml:space="preserve">so treat that row as a chat-only default</w:t>
      </w:r>
      <w:r>
        <w:t xml:space="preserve"> </w:t>
      </w:r>
      <w:r>
        <w:t xml:space="preserve">and prefer DeepSeek V4 Flash for agent work.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the endpoints named in the wiring section above,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Read the catalog rather than that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8"/>
    <w:bookmarkStart w:id="30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0"/>
    <w:bookmarkStart w:id="31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1"/>
    <w:bookmarkStart w:id="40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037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037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037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"/>
    <w:bookmarkStart w:id="44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4"/>
    <w:bookmarkEnd w:id="45"/>
    <w:bookmarkStart w:id="59" w:name="configuring-the-agent-environment"/>
    <w:p>
      <w:pPr>
        <w:pStyle w:val="Heading1"/>
      </w:pPr>
      <w:r>
        <w:t xml:space="preserve">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6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3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3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3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38"/>
        </w:numPr>
      </w:pPr>
      <w:r>
        <w:t xml:space="preserve">Consistent development environment across all agent sessions</w:t>
      </w:r>
    </w:p>
    <w:bookmarkEnd w:id="46"/>
    <w:bookmarkStart w:id="47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7"/>
    <w:bookmarkStart w:id="49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8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9"/>
    <w:bookmarkStart w:id="52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50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51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52"/>
    <w:bookmarkStart w:id="53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53"/>
    <w:bookmarkStart w:id="54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54"/>
    <w:bookmarkStart w:id="55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4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4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4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4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55"/>
    <w:bookmarkStart w:id="56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56"/>
    <w:bookmarkStart w:id="57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57"/>
    <w:bookmarkStart w:id="5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58"/>
    <w:bookmarkEnd w:id="59"/>
    <w:bookmarkStart w:id="64" w:name="sec-ai-vscode-agent-sessions"/>
    <w:p>
      <w:pPr>
        <w:pStyle w:val="Heading1"/>
      </w:pPr>
      <w:r>
        <w:t xml:space="preserve">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1"/>
    <w:bookmarkStart w:id="6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2"/>
    <w:bookmarkStart w:id="6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3"/>
    <w:bookmarkEnd w:id="64"/>
    <w:bookmarkStart w:id="85" w:name="sec-ai-claude-code-windows"/>
    <w:p>
      <w:pPr>
        <w:pStyle w:val="Heading1"/>
      </w:pPr>
      <w:r>
        <w:t xml:space="preserve">5. Installing Claude Code on Windows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7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70"/>
    <w:bookmarkStart w:id="7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7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75"/>
    <w:bookmarkStart w:id="7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7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77"/>
    <w:bookmarkStart w:id="8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81"/>
    <w:bookmarkStart w:id="8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8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83"/>
    <w:bookmarkStart w:id="8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84"/>
    <w:bookmarkEnd w:id="85"/>
    <w:bookmarkStart w:id="95" w:name="sec-ai-herdr"/>
    <w:p>
      <w:pPr>
        <w:pStyle w:val="Heading1"/>
      </w:pPr>
      <w:r>
        <w:t xml:space="preserve">6. Herdr: A Terminal Multiplexer for Coding Agents</w:t>
      </w:r>
    </w:p>
    <w:p>
      <w:pPr>
        <w:pStyle w:val="FirstParagraph"/>
      </w:pPr>
      <w:hyperlink r:id="rId86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88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87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88"/>
    <w:bookmarkStart w:id="89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89"/>
    <w:bookmarkStart w:id="91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90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91"/>
    <w:bookmarkStart w:id="92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92"/>
    <w:bookmarkStart w:id="9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our orchestration baseline</w:t>
        </w:r>
      </w:hyperlink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4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94"/>
    <w:bookmarkEnd w:id="95"/>
    <w:bookmarkStart w:id="124" w:name="sec-ai-customization"/>
    <w:p>
      <w:pPr>
        <w:pStyle w:val="Heading1"/>
      </w:pPr>
      <w:r>
        <w:t xml:space="preserve">7.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9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99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98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9"/>
    <w:bookmarkStart w:id="10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10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10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102"/>
    <w:bookmarkStart w:id="10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103"/>
    <w:bookmarkStart w:id="1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10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1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107"/>
    <w:bookmarkStart w:id="11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r:id="rId108">
        <w:r>
          <w:rPr>
            <w:rStyle w:val="Hyperlink"/>
          </w:rPr>
          <w:t xml:space="preserve">Agent implementation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harness relationship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11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1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111"/>
    <w:bookmarkStart w:id="11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11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113"/>
    <w:bookmarkStart w:id="11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115"/>
    <w:bookmarkStart w:id="117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11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configuration and its failure modes.</w:t>
      </w:r>
    </w:p>
    <w:bookmarkEnd w:id="117"/>
    <w:bookmarkStart w:id="118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118"/>
    <w:bookmarkStart w:id="12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121"/>
    <w:bookmarkStart w:id="123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052"/>
        </w:numPr>
      </w:pPr>
      <w:r>
        <w:t xml:space="preserve">177 skill directories</w:t>
      </w:r>
    </w:p>
    <w:p>
      <w:pPr>
        <w:pStyle w:val="Compact"/>
        <w:numPr>
          <w:ilvl w:val="0"/>
          <w:numId w:val="1052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052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052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123"/>
    <w:bookmarkEnd w:id="124"/>
    <w:bookmarkStart w:id="129" w:name="sec-ai-config-install"/>
    <w:p>
      <w:pPr>
        <w:pStyle w:val="Heading1"/>
      </w:pPr>
      <w:r>
        <w:t xml:space="preserve">8.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125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125"/>
    <w:bookmarkStart w:id="126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126"/>
    <w:bookmarkStart w:id="127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127"/>
    <w:bookmarkStart w:id="128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128"/>
    <w:bookmarkEnd w:id="129"/>
    <w:bookmarkStart w:id="135" w:name="sec-ai-agent-skills"/>
    <w:p>
      <w:pPr>
        <w:pStyle w:val="Heading1"/>
      </w:pPr>
      <w:r>
        <w:t xml:space="preserve">9. Agent Skills</w:t>
      </w:r>
    </w:p>
    <w:p>
      <w:pPr>
        <w:pStyle w:val="FirstParagraph"/>
      </w:pP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131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1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56"/>
        </w:numPr>
      </w:pPr>
      <w:r>
        <w:t xml:space="preserve">Scripts</w:t>
      </w:r>
    </w:p>
    <w:p>
      <w:pPr>
        <w:pStyle w:val="Compact"/>
        <w:numPr>
          <w:ilvl w:val="0"/>
          <w:numId w:val="1056"/>
        </w:numPr>
      </w:pPr>
      <w:r>
        <w:t xml:space="preserve">Reference documentation</w:t>
      </w:r>
    </w:p>
    <w:p>
      <w:pPr>
        <w:pStyle w:val="Compact"/>
        <w:numPr>
          <w:ilvl w:val="0"/>
          <w:numId w:val="105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131"/>
    <w:bookmarkStart w:id="132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132"/>
    <w:bookmarkStart w:id="133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133"/>
    <w:bookmarkStart w:id="13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059"/>
        </w:numPr>
      </w:pPr>
      <w:r>
        <w:t xml:space="preserve">instruction files</w:t>
      </w:r>
    </w:p>
    <w:p>
      <w:pPr>
        <w:pStyle w:val="Compact"/>
        <w:numPr>
          <w:ilvl w:val="0"/>
          <w:numId w:val="1059"/>
        </w:numPr>
      </w:pPr>
      <w:r>
        <w:t xml:space="preserve">subagents</w:t>
      </w:r>
    </w:p>
    <w:p>
      <w:pPr>
        <w:pStyle w:val="Compact"/>
        <w:numPr>
          <w:ilvl w:val="0"/>
          <w:numId w:val="1059"/>
        </w:numPr>
      </w:pPr>
      <w:r>
        <w:t xml:space="preserve">hooks</w:t>
      </w:r>
    </w:p>
    <w:p>
      <w:pPr>
        <w:pStyle w:val="Compact"/>
        <w:numPr>
          <w:ilvl w:val="0"/>
          <w:numId w:val="105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134"/>
    <w:bookmarkEnd w:id="135"/>
    <w:bookmarkStart w:id="142" w:name="sec-ai-tessl"/>
    <w:p>
      <w:pPr>
        <w:pStyle w:val="Heading1"/>
      </w:pPr>
      <w:r>
        <w:t xml:space="preserve">10. Tessl: Skills Registry and CLI</w:t>
      </w:r>
    </w:p>
    <w:p>
      <w:pPr>
        <w:pStyle w:val="FirstParagraph"/>
      </w:pPr>
      <w:hyperlink r:id="rId136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137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06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06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06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137"/>
    <w:bookmarkStart w:id="138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138"/>
    <w:bookmarkStart w:id="139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139"/>
    <w:bookmarkStart w:id="140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140"/>
    <w:bookmarkStart w:id="141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141"/>
    <w:bookmarkEnd w:id="142"/>
    <w:bookmarkStart w:id="149" w:name="sec-ai-posit-skills"/>
    <w:p>
      <w:pPr>
        <w:pStyle w:val="Heading1"/>
      </w:pPr>
      <w:r>
        <w:t xml:space="preserve">11. The Posit Skill Collection</w:t>
      </w:r>
    </w:p>
    <w:p>
      <w:pPr>
        <w:pStyle w:val="FirstParagraph"/>
      </w:pPr>
      <w:hyperlink r:id="rId143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144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144"/>
    <w:bookmarkStart w:id="145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064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064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064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064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describes.</w:t>
      </w:r>
    </w:p>
    <w:bookmarkEnd w:id="145"/>
    <w:bookmarkStart w:id="148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146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r:id="rId147">
        <w:r>
          <w:rPr>
            <w:rStyle w:val="Hyperlink"/>
          </w:rPr>
          <w:t xml:space="preserve">Claude Code Action review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148"/>
    <w:bookmarkEnd w:id="149"/>
    <w:bookmarkStart w:id="174" w:name="sec-ai-posit-dev-ai-repos"/>
    <w:p>
      <w:pPr>
        <w:pStyle w:val="Heading1"/>
      </w:pPr>
      <w:r>
        <w:t xml:space="preserve">12.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150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170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151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152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153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154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157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158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159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160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166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167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168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169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170"/>
    <w:bookmarkStart w:id="173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171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r:id="rId172">
        <w:r>
          <w:rPr>
            <w:rStyle w:val="Hyperlink"/>
          </w:rPr>
          <w:t xml:space="preserve">running agents offline</w:t>
        </w:r>
      </w:hyperlink>
      <w:r>
        <w:t xml:space="preserve"> </w:t>
      </w:r>
      <w:r>
        <w:t xml:space="preserve">for running it against Ollama.</w:t>
      </w:r>
    </w:p>
    <w:bookmarkEnd w:id="173"/>
    <w:bookmarkEnd w:id="174"/>
    <w:bookmarkStart w:id="181" w:name="sec-ai-useful-plugins"/>
    <w:p>
      <w:pPr>
        <w:pStyle w:val="Heading1"/>
      </w:pPr>
      <w:r>
        <w:t xml:space="preserve">13.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17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17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067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067"/>
        </w:numPr>
      </w:pPr>
      <w:r>
        <w:t xml:space="preserve">Cursor: from the</w:t>
      </w:r>
      <w:r>
        <w:t xml:space="preserve"> </w:t>
      </w:r>
      <w:hyperlink r:id="rId17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067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067"/>
        </w:numPr>
      </w:pPr>
      <w:hyperlink r:id="rId17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17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068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068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068"/>
        </w:numPr>
      </w:pPr>
      <w:r>
        <w:t xml:space="preserve">is it in the stdlib;</w:t>
      </w:r>
    </w:p>
    <w:p>
      <w:pPr>
        <w:pStyle w:val="Compact"/>
        <w:numPr>
          <w:ilvl w:val="0"/>
          <w:numId w:val="1068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068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068"/>
        </w:numPr>
      </w:pPr>
      <w:r>
        <w:t xml:space="preserve">can it be one line;</w:t>
      </w:r>
    </w:p>
    <w:p>
      <w:pPr>
        <w:pStyle w:val="Compact"/>
        <w:numPr>
          <w:ilvl w:val="0"/>
          <w:numId w:val="1068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18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181"/>
    <w:bookmarkStart w:id="200" w:name="sec-ai-plugin-catalog"/>
    <w:p>
      <w:pPr>
        <w:pStyle w:val="Heading1"/>
      </w:pPr>
      <w:r>
        <w:t xml:space="preserve">14.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186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2026e)</w:t>
      </w:r>
      <w:r>
        <w:t xml:space="preserve">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182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183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184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2026c)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185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2026a)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186"/>
    <w:bookmarkStart w:id="194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070"/>
        </w:numPr>
      </w:pPr>
      <w:r>
        <w:t xml:space="preserve">development (119)</w:t>
      </w:r>
    </w:p>
    <w:p>
      <w:pPr>
        <w:pStyle w:val="Compact"/>
        <w:numPr>
          <w:ilvl w:val="0"/>
          <w:numId w:val="1070"/>
        </w:numPr>
      </w:pPr>
      <w:r>
        <w:t xml:space="preserve">productivity (49)</w:t>
      </w:r>
    </w:p>
    <w:p>
      <w:pPr>
        <w:pStyle w:val="Compact"/>
        <w:numPr>
          <w:ilvl w:val="0"/>
          <w:numId w:val="1070"/>
        </w:numPr>
      </w:pPr>
      <w:r>
        <w:t xml:space="preserve">database (38)</w:t>
      </w:r>
    </w:p>
    <w:p>
      <w:pPr>
        <w:pStyle w:val="Compact"/>
        <w:numPr>
          <w:ilvl w:val="0"/>
          <w:numId w:val="1070"/>
        </w:numPr>
      </w:pPr>
      <w:r>
        <w:t xml:space="preserve">monitoring (20)</w:t>
      </w:r>
    </w:p>
    <w:p>
      <w:pPr>
        <w:pStyle w:val="Compact"/>
        <w:numPr>
          <w:ilvl w:val="0"/>
          <w:numId w:val="1070"/>
        </w:numPr>
      </w:pPr>
      <w:r>
        <w:t xml:space="preserve">security (18)</w:t>
      </w:r>
    </w:p>
    <w:p>
      <w:pPr>
        <w:pStyle w:val="Compact"/>
        <w:numPr>
          <w:ilvl w:val="0"/>
          <w:numId w:val="1070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187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187"/>
    <w:bookmarkStart w:id="188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188"/>
    <w:bookmarkStart w:id="189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189"/>
    <w:bookmarkStart w:id="191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r:id="rId190">
        <w:r>
          <w:rPr>
            <w:rStyle w:val="Hyperlink"/>
          </w:rPr>
          <w:t xml:space="preserve">when to use AI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191"/>
    <w:bookmarkStart w:id="193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2026e)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r:id="rId192">
        <w:r>
          <w:rPr>
            <w:rStyle w:val="Hyperlink"/>
          </w:rPr>
          <w:t xml:space="preserve">PR activity notifications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193"/>
    <w:bookmarkEnd w:id="194"/>
    <w:bookmarkStart w:id="196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95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074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074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074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074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2026c)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196"/>
    <w:bookmarkStart w:id="198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198"/>
    <w:bookmarkStart w:id="199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2026f;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2026f)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199"/>
    <w:bookmarkEnd w:id="200"/>
    <w:bookmarkStart w:id="209" w:name="sec-ai-codex-plugin-cc"/>
    <w:p>
      <w:pPr>
        <w:pStyle w:val="Heading1"/>
      </w:pPr>
      <w:r>
        <w:t xml:space="preserve">15. Running Codex Inside Claude Code: the codex-plugin-cc Plugin</w:t>
      </w:r>
    </w:p>
    <w:p>
      <w:pPr>
        <w:pStyle w:val="FirstParagraph"/>
      </w:pPr>
      <w:hyperlink r:id="rId201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202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202"/>
    <w:bookmarkStart w:id="203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203"/>
    <w:bookmarkStart w:id="204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079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204"/>
    <w:bookmarkStart w:id="205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08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08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205"/>
    <w:bookmarkStart w:id="207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207"/>
    <w:bookmarkStart w:id="208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081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081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for the rest of the plugins the lab has evaluated.</w:t>
      </w:r>
    </w:p>
    <w:bookmarkEnd w:id="208"/>
    <w:bookmarkEnd w:id="209"/>
    <w:bookmarkStart w:id="213" w:name="sec-ai-plugins-deep-dive"/>
    <w:p>
      <w:pPr>
        <w:pStyle w:val="Heading1"/>
      </w:pPr>
      <w:r>
        <w:t xml:space="preserve">16.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r:id="rId119">
        <w:r>
          <w:rPr>
            <w:rStyle w:val="Hyperlink"/>
          </w:rPr>
          <w:t xml:space="preserve">the harness landscape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21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210"/>
    <w:bookmarkStart w:id="21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211"/>
    <w:bookmarkStart w:id="21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212"/>
    <w:bookmarkEnd w:id="213"/>
    <w:bookmarkStart w:id="230" w:name="sec-ai-mcp-server-setup"/>
    <w:p>
      <w:pPr>
        <w:pStyle w:val="Heading1"/>
      </w:pPr>
      <w:r>
        <w:t xml:space="preserve">17.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21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21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217"/>
    <w:bookmarkStart w:id="21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218"/>
    <w:bookmarkStart w:id="21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219"/>
    <w:bookmarkStart w:id="22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220"/>
    <w:bookmarkStart w:id="22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221"/>
    <w:bookmarkStart w:id="22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222"/>
    <w:bookmarkStart w:id="22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223"/>
    <w:bookmarkStart w:id="22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224"/>
    <w:bookmarkStart w:id="227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225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226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085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085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085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085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085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085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227"/>
    <w:bookmarkStart w:id="229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228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228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229"/>
    <w:bookmarkEnd w:id="230"/>
    <w:bookmarkStart w:id="235" w:name="sec-ai-antigravity-python-sdk"/>
    <w:p>
      <w:pPr>
        <w:pStyle w:val="Heading1"/>
      </w:pPr>
      <w:r>
        <w:t xml:space="preserve">18.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231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232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232"/>
    <w:bookmarkStart w:id="233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233"/>
    <w:bookmarkStart w:id="234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234"/>
    <w:bookmarkEnd w:id="235"/>
    <w:bookmarkStart w:id="239" w:name="sec-ai-magic-context"/>
    <w:p>
      <w:pPr>
        <w:pStyle w:val="Heading1"/>
      </w:pPr>
      <w:r>
        <w:t xml:space="preserve">19. Unbounded Context with Magic Context</w:t>
      </w:r>
    </w:p>
    <w:p>
      <w:pPr>
        <w:pStyle w:val="FirstParagraph"/>
      </w:pPr>
      <w:hyperlink r:id="rId236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237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237"/>
    <w:bookmarkStart w:id="238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238"/>
    <w:bookmarkEnd w:id="239"/>
    <w:bookmarkStart w:id="243" w:name="sec-ai-conductor-extension"/>
    <w:p>
      <w:pPr>
        <w:pStyle w:val="Heading1"/>
      </w:pPr>
      <w:r>
        <w:t xml:space="preserve">20. Spec-Driven Development with Conductor</w:t>
      </w:r>
    </w:p>
    <w:p>
      <w:pPr>
        <w:pStyle w:val="FirstParagraph"/>
      </w:pPr>
      <w:hyperlink r:id="rId240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241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241"/>
    <w:bookmarkStart w:id="242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242"/>
    <w:bookmarkEnd w:id="243"/>
    <w:bookmarkStart w:id="251" w:name="sec-ai-gemini-spend-management"/>
    <w:p>
      <w:pPr>
        <w:pStyle w:val="Heading1"/>
      </w:pPr>
      <w:r>
        <w:t xml:space="preserve">21.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24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24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091"/>
        </w:numPr>
      </w:pPr>
      <w:r>
        <w:t xml:space="preserve">Open</w:t>
      </w:r>
      <w:r>
        <w:t xml:space="preserve"> </w:t>
      </w:r>
      <w:hyperlink r:id="rId24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091"/>
        </w:numPr>
      </w:pPr>
      <w:r>
        <w:t xml:space="preserve">Any project that has hit its monthly spend cap will have its API requests paused until the limit is updated.</w:t>
      </w:r>
    </w:p>
    <w:bookmarkEnd w:id="245"/>
    <w:bookmarkStart w:id="24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092"/>
        </w:numPr>
      </w:pPr>
      <w:r>
        <w:t xml:space="preserve">Open</w:t>
      </w:r>
      <w:r>
        <w:t xml:space="preserve"> </w:t>
      </w:r>
      <w:hyperlink r:id="rId24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09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247"/>
    <w:bookmarkStart w:id="24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093"/>
        </w:numPr>
      </w:pPr>
      <w:r>
        <w:t xml:space="preserve">Open</w:t>
      </w:r>
      <w:r>
        <w:t xml:space="preserve"> </w:t>
      </w:r>
      <w:hyperlink r:id="rId24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09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09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249"/>
    <w:bookmarkStart w:id="25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250"/>
    <w:bookmarkEnd w:id="251"/>
    <w:bookmarkStart w:id="263" w:name="sec-ai-claude-cloud-env"/>
    <w:p>
      <w:pPr>
        <w:pStyle w:val="Heading1"/>
      </w:pPr>
      <w:r>
        <w:t xml:space="preserve">22. Claude Code Cloud Environments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53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09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09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bookmarkEnd w:id="253"/>
    <w:bookmarkStart w:id="262" w:name="sec-claude-network-access"/>
    <w:p>
      <w:pPr>
        <w:pStyle w:val="Heading4"/>
      </w:pPr>
      <w:r>
        <w:t xml:space="preserve">Configuring network access for Claude cloud sessions</w:t>
      </w:r>
    </w:p>
    <w:p>
      <w:pPr>
        <w:pStyle w:val="FirstParagraph"/>
      </w:pPr>
      <w:r>
        <w:t xml:space="preserve">To let a cloud session reach hosts outside the default</w:t>
      </w:r>
      <w:r>
        <w:t xml:space="preserve"> </w:t>
      </w:r>
      <w:r>
        <w:rPr>
          <w:b/>
          <w:bCs/>
        </w:rPr>
        <w:t xml:space="preserve">Trusted</w:t>
      </w:r>
      <w:r>
        <w:t xml:space="preserve"> </w:t>
      </w:r>
      <w:r>
        <w:t xml:space="preserve">list,</w:t>
      </w:r>
      <w:r>
        <w:t xml:space="preserve"> </w:t>
      </w:r>
      <w:r>
        <w:t xml:space="preserve">edit its environment</w:t>
      </w:r>
      <w:r>
        <w:t xml:space="preserve"> </w:t>
      </w:r>
      <w:r>
        <w:t xml:space="preserve">(Anthropic 2026d)</w:t>
      </w:r>
      <w:r>
        <w:t xml:space="preserve">:</w:t>
      </w:r>
    </w:p>
    <w:p>
      <w:pPr>
        <w:pStyle w:val="Compact"/>
        <w:numPr>
          <w:ilvl w:val="0"/>
          <w:numId w:val="1097"/>
        </w:numPr>
      </w:pPr>
      <w:r>
        <w:t xml:space="preserve">Open the environment selector,</w:t>
      </w:r>
      <w:r>
        <w:t xml:space="preserve"> </w:t>
      </w:r>
      <w:r>
        <w:t xml:space="preserve">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or from the prompt box in the Desktop app,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Cloud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Hover over the environment</w:t>
      </w:r>
      <w:r>
        <w:t xml:space="preserve"> </w:t>
      </w:r>
      <w:r>
        <w:t xml:space="preserve">and select the settings icon on the right.</w:t>
      </w:r>
    </w:p>
    <w:p>
      <w:pPr>
        <w:pStyle w:val="Compact"/>
        <w:numPr>
          <w:ilvl w:val="0"/>
          <w:numId w:val="1097"/>
        </w:numPr>
      </w:pPr>
      <w:r>
        <w:t xml:space="preserve">Set</w:t>
      </w:r>
      <w:r>
        <w:t xml:space="preserve"> </w:t>
      </w:r>
      <w:r>
        <w:rPr>
          <w:b/>
          <w:bCs/>
        </w:rPr>
        <w:t xml:space="preserve">Network access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Custom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Paste the hosts into</w:t>
      </w:r>
      <w:r>
        <w:t xml:space="preserve"> </w:t>
      </w:r>
      <w:r>
        <w:rPr>
          <w:b/>
          <w:bCs/>
        </w:rPr>
        <w:t xml:space="preserve">Allowed domains</w:t>
      </w:r>
      <w:r>
        <w:t xml:space="preserve">,</w:t>
      </w:r>
      <w:r>
        <w:t xml:space="preserve"> </w:t>
      </w:r>
      <w:r>
        <w:t xml:space="preserve">one per line.</w:t>
      </w:r>
    </w:p>
    <w:p>
      <w:pPr>
        <w:pStyle w:val="Compact"/>
        <w:numPr>
          <w:ilvl w:val="0"/>
          <w:numId w:val="1097"/>
        </w:numPr>
      </w:pPr>
      <w:r>
        <w:t xml:space="preserve">Check</w:t>
      </w:r>
      <w:r>
        <w:t xml:space="preserve"> </w:t>
      </w:r>
      <w:r>
        <w:rPr>
          <w:b/>
          <w:bCs/>
        </w:rPr>
        <w:t xml:space="preserve">Also include default list of common package managers</w:t>
      </w:r>
      <w:r>
        <w:t xml:space="preserve">,</w:t>
      </w:r>
      <w:r>
        <w:t xml:space="preserve"> </w:t>
      </w:r>
      <w:r>
        <w:t xml:space="preserve">to keep Anthropic’s default registries, such as PyPI.</w:t>
      </w:r>
      <w:r>
        <w:t xml:space="preserve"> </w:t>
      </w:r>
      <w:r>
        <w:t xml:space="preserve">R repositories such as CRAN come from the lab’s list itself.</w:t>
      </w:r>
    </w:p>
    <w:p>
      <w:pPr>
        <w:pStyle w:val="FirstParagraph"/>
      </w:pPr>
      <w:r>
        <w:t xml:space="preserve">Sessions already running in the environment</w:t>
      </w:r>
      <w:r>
        <w:t xml:space="preserve"> </w:t>
      </w:r>
      <w:r>
        <w:t xml:space="preserve">pick up the new list within about a minute.</w:t>
      </w:r>
      <w:r>
        <w:t xml:space="preserve"> </w:t>
      </w:r>
      <w:r>
        <w:t xml:space="preserve">Git operations and GitHub API requests</w:t>
      </w:r>
      <w:r>
        <w:t xml:space="preserve"> </w:t>
      </w:r>
      <w:r>
        <w:t xml:space="preserve">go through a separate GitHub proxy</w:t>
      </w:r>
      <w:r>
        <w:t xml:space="preserve"> </w:t>
      </w:r>
      <w:r>
        <w:t xml:space="preserve">and do not depend on this list,</w:t>
      </w:r>
      <w:r>
        <w:t xml:space="preserve"> </w:t>
      </w:r>
      <w:r>
        <w:t xml:space="preserve">but committed files fetched from</w:t>
      </w:r>
      <w:r>
        <w:t xml:space="preserve"> </w:t>
      </w:r>
      <w:r>
        <w:rPr>
          <w:rStyle w:val="VerbatimChar"/>
        </w:rPr>
        <w:t xml:space="preserve">raw.githubusercontent.com</w:t>
      </w:r>
      <w:r>
        <w:t xml:space="preserve"> </w:t>
      </w:r>
      <w:r>
        <w:t xml:space="preserve">do depend on it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These steps apply to environments you created yourself.</w:t>
      </w:r>
      <w:r>
        <w:t xml:space="preserve"> </w:t>
      </w:r>
      <w:r>
        <w:t xml:space="preserve">An organization-shared environment opens read-only in the selector;</w:t>
      </w:r>
      <w:r>
        <w:t xml:space="preserve"> </w:t>
      </w:r>
      <w:r>
        <w:t xml:space="preserve">only an organization Owner can change its network access,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Cloud environments</w:t>
      </w:r>
      <w:r>
        <w:t xml:space="preserve"> </w:t>
      </w:r>
      <w:r>
        <w:t xml:space="preserve">page in admin settings.</w:t>
      </w:r>
      <w:r>
        <w:t xml:space="preserve"> </w:t>
      </w:r>
      <w:r>
        <w:t xml:space="preserve">Each environment keeps its own list,</w:t>
      </w:r>
      <w:r>
        <w:t xml:space="preserve"> </w:t>
      </w:r>
      <w:r>
        <w:t xml:space="preserve">so to give the whole lab one standard list,</w:t>
      </w:r>
      <w:r>
        <w:t xml:space="preserve"> </w:t>
      </w:r>
      <w:r>
        <w:t xml:space="preserve">an Owner can create a shared environment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access and that list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The lab’s list lives in</w:t>
      </w:r>
      <w:r>
        <w:t xml:space="preserve"> </w:t>
      </w:r>
      <w:hyperlink r:id="rId254">
        <w:r>
          <w:rPr>
            <w:rStyle w:val="VerbatimChar"/>
          </w:rPr>
          <w:t xml:space="preserve">claude-allowlist.txt</w:t>
        </w:r>
      </w:hyperlink>
      <w:r>
        <w:t xml:space="preserve"> </w:t>
      </w:r>
      <w:r>
        <w:t xml:space="preserve">in</w:t>
      </w:r>
      <w:r>
        <w:t xml:space="preserve"> </w:t>
      </w:r>
      <w:hyperlink r:id="rId255">
        <w:r>
          <w:rPr>
            <w:rStyle w:val="Hyperlink"/>
          </w:rPr>
          <w:t xml:space="preserve">Morrison-Lab/stats-allowlist</w:t>
        </w:r>
      </w:hyperlink>
      <w:r>
        <w:t xml:space="preserve"> </w:t>
      </w:r>
      <w:r>
        <w:t xml:space="preserve">(Morrison Lab 2026d)</w:t>
      </w:r>
      <w:r>
        <w:t xml:space="preserve">.</w:t>
      </w:r>
      <w:r>
        <w:t xml:space="preserve"> </w:t>
      </w:r>
      <w:r>
        <w:t xml:space="preserve">Editing that file does not change any environment by itself:</w:t>
      </w:r>
      <w:r>
        <w:t xml:space="preserve"> </w:t>
      </w:r>
      <w:r>
        <w:t xml:space="preserve">after the file changes,</w:t>
      </w:r>
      <w:r>
        <w:t xml:space="preserve"> </w:t>
      </w:r>
      <w:r>
        <w:t xml:space="preserve">paste the updated list into each environment that uses it.</w:t>
      </w:r>
    </w:p>
    <w:p>
      <w:pPr>
        <w:pStyle w:val="BodyText"/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*.</w:t>
      </w:r>
      <w:r>
        <w:t xml:space="preserve"> </w:t>
      </w:r>
      <w:r>
        <w:t xml:space="preserve">matches subdomains only: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*.example.org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docs.example.org</w:t>
      </w:r>
      <w:r>
        <w:t xml:space="preserve"> </w:t>
      </w:r>
      <w:r>
        <w:t xml:space="preserve">but not</w:t>
      </w:r>
      <w:r>
        <w:t xml:space="preserve"> </w:t>
      </w:r>
      <w:r>
        <w:rPr>
          <w:rStyle w:val="VerbatimChar"/>
        </w:rPr>
        <w:t xml:space="preserve">example.org</w:t>
      </w:r>
      <w:r>
        <w:t xml:space="preserve">,</w:t>
      </w:r>
      <w:r>
        <w:t xml:space="preserve"> </w:t>
      </w:r>
      <w:r>
        <w:t xml:space="preserve">so a site often needs both entries</w:t>
      </w:r>
      <w:r>
        <w:t xml:space="preserve"> </w:t>
      </w:r>
      <w:r>
        <w:t xml:space="preserve">(Morrison Lab 2026d)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A host already matched by a wildcard,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cloud.r-project.org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*.r-project.org</w:t>
      </w:r>
      <w:r>
        <w:t xml:space="preserve">,</w:t>
      </w:r>
      <w:r>
        <w:t xml:space="preserve"> </w:t>
      </w:r>
      <w:r>
        <w:t xml:space="preserve">needs no line of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hosts to allow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Every allowed host is a place the agent can send data to,</w:t>
            </w:r>
            <w:r>
              <w:t xml:space="preserve"> </w:t>
            </w:r>
            <w:r>
              <w:t xml:space="preserve">or read instructions from</w:t>
            </w:r>
            <w:r>
              <w:t xml:space="preserve"> </w:t>
            </w:r>
            <w:r>
              <w:t xml:space="preserve">(Morrison Lab 2026c)</w:t>
            </w:r>
            <w:r>
              <w:t xml:space="preserve">.</w:t>
            </w:r>
            <w:r>
              <w:t xml:space="preserve"> </w:t>
            </w:r>
            <w:r>
              <w:t xml:space="preserve">Prefer documentation, package registries, and publishers.</w:t>
            </w:r>
            <w:r>
              <w:t xml:space="preserve"> </w:t>
            </w:r>
            <w:r>
              <w:t xml:space="preserve">Leave out:</w:t>
            </w:r>
          </w:p>
          <w:p>
            <w:pPr>
              <w:pStyle w:val="Compact"/>
              <w:numPr>
                <w:ilvl w:val="0"/>
                <w:numId w:val="1099"/>
              </w:numPr>
            </w:pPr>
            <w:r>
              <w:t xml:space="preserve">Sites that accept anonymous writes,</w:t>
            </w:r>
            <w:r>
              <w:t xml:space="preserve"> </w:t>
            </w:r>
            <w:r>
              <w:t xml:space="preserve">such as Google Forms (</w:t>
            </w:r>
            <w:r>
              <w:rPr>
                <w:rStyle w:val="VerbatimChar"/>
              </w:rPr>
              <w:t xml:space="preserve">docs.google.com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forms.gle</w:t>
            </w:r>
            <w:r>
              <w:t xml:space="preserve">),</w:t>
            </w:r>
            <w:r>
              <w:t xml:space="preserve"> </w:t>
            </w:r>
            <w:r>
              <w:t xml:space="preserve">which an agent could be steered into using to send repository contents out.</w:t>
            </w:r>
          </w:p>
          <w:p>
            <w:pPr>
              <w:pStyle w:val="Compact"/>
              <w:numPr>
                <w:ilvl w:val="0"/>
                <w:numId w:val="1099"/>
              </w:numPr>
            </w:pPr>
            <w:r>
              <w:t xml:space="preserve">Sites dominated by user posts,</w:t>
            </w:r>
            <w:r>
              <w:t xml:space="preserve"> </w:t>
            </w:r>
            <w:r>
              <w:t xml:space="preserve">such as Reddit,</w:t>
            </w:r>
            <w:r>
              <w:t xml:space="preserve"> </w:t>
            </w:r>
            <w:r>
              <w:t xml:space="preserve">which are a common source of planted instructions</w:t>
            </w:r>
            <w:r>
              <w:t xml:space="preserve"> </w:t>
            </w:r>
            <w:r>
              <w:t xml:space="preserve">and add little for statistics work.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Hosts where anyone can publish,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rStyle w:val="VerbatimChar"/>
              </w:rPr>
              <w:t xml:space="preserve">*.github.io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*.githubusercontent.com</w:t>
            </w:r>
            <w:r>
              <w:t xml:space="preserve">,</w:t>
            </w:r>
            <w:r>
              <w:t xml:space="preserve"> </w:t>
            </w:r>
            <w:r>
              <w:t xml:space="preserve">are often needed for package installs and documentation;</w:t>
            </w:r>
            <w:r>
              <w:t xml:space="preserve"> </w:t>
            </w:r>
            <w:r>
              <w:t xml:space="preserve">allow them knowingly.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60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1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62"/>
    <w:bookmarkEnd w:id="263"/>
    <w:bookmarkStart w:id="351" w:name="references"/>
    <w:p>
      <w:pPr>
        <w:pStyle w:val="Heading1"/>
      </w:pPr>
      <w:r>
        <w:t xml:space="preserve">References</w:t>
      </w:r>
    </w:p>
    <w:bookmarkStart w:id="350" w:name="refs"/>
    <w:bookmarkStart w:id="264" w:name="ref-claude_code_demo_plugin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185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264"/>
    <w:bookmarkStart w:id="265" w:name="ref-claude_plugins_officia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182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65"/>
    <w:bookmarkStart w:id="266" w:name="ref-claude_plugins_community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66"/>
    <w:bookmarkStart w:id="268" w:name="ref-claude_code_cloud_environments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Configure Cloud Environments</w:t>
      </w:r>
      <w:r>
        <w:t xml:space="preserve">. Documentation.</w:t>
      </w:r>
      <w:r>
        <w:t xml:space="preserve"> </w:t>
      </w:r>
      <w:hyperlink r:id="rId267">
        <w:r>
          <w:rPr>
            <w:rStyle w:val="Hyperlink"/>
          </w:rPr>
          <w:t xml:space="preserve">https://code.claude.com/docs/en/cloud-environments</w:t>
        </w:r>
      </w:hyperlink>
      <w:r>
        <w:t xml:space="preserve">.</w:t>
      </w:r>
    </w:p>
    <w:bookmarkEnd w:id="268"/>
    <w:bookmarkStart w:id="270" w:name="ref-claude_code_discover_plugins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269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270"/>
    <w:bookmarkStart w:id="272" w:name="ref-ralph_loop_plugin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271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272"/>
    <w:bookmarkStart w:id="274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273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274"/>
    <w:bookmarkStart w:id="276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275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276"/>
    <w:bookmarkStart w:id="277" w:name="ref-databricks_fmapi_limits"/>
    <w:p>
      <w:pPr>
        <w:pStyle w:val="Bibliography"/>
      </w:pPr>
      <w:r>
        <w:t xml:space="preserve">Databricks. 2026a.</w:t>
      </w:r>
      <w:r>
        <w:t xml:space="preserve"> </w:t>
      </w:r>
      <w:r>
        <w:rPr>
          <w:i/>
          <w:iCs/>
        </w:rPr>
        <w:t xml:space="preserve">Foundation Model APIs Limits and Regions</w:t>
      </w:r>
      <w:r>
        <w:t xml:space="preserve">. Documentation.</w:t>
      </w:r>
      <w:r>
        <w:t xml:space="preserve"> </w:t>
      </w:r>
      <w:hyperlink r:id="rId26">
        <w:r>
          <w:rPr>
            <w:rStyle w:val="Hyperlink"/>
          </w:rPr>
          <w:t xml:space="preserve">https://docs.databricks.com/aws/en/machine-learning/foundation-model-apis/limits</w:t>
        </w:r>
      </w:hyperlink>
      <w:r>
        <w:t xml:space="preserve">.</w:t>
      </w:r>
    </w:p>
    <w:bookmarkEnd w:id="277"/>
    <w:bookmarkStart w:id="278" w:name="ref-databricks_supported_models"/>
    <w:p>
      <w:pPr>
        <w:pStyle w:val="Bibliography"/>
      </w:pPr>
      <w:r>
        <w:t xml:space="preserve">Databricks. 2026b.</w:t>
      </w:r>
      <w:r>
        <w:t xml:space="preserve"> </w:t>
      </w:r>
      <w:r>
        <w:rPr>
          <w:i/>
          <w:iCs/>
        </w:rPr>
        <w:t xml:space="preserve">Supported Models in Foundation Model APIs</w:t>
      </w:r>
      <w:r>
        <w:t xml:space="preserve">. Documentation.</w:t>
      </w:r>
      <w:r>
        <w:t xml:space="preserve"> </w:t>
      </w:r>
      <w:hyperlink r:id="rId24">
        <w:r>
          <w:rPr>
            <w:rStyle w:val="Hyperlink"/>
          </w:rPr>
          <w:t xml:space="preserve">https://docs.databricks.com/aws/en/machine-learning/foundation-model-apis/supported-models</w:t>
        </w:r>
      </w:hyperlink>
      <w:r>
        <w:t xml:space="preserve">.</w:t>
      </w:r>
    </w:p>
    <w:bookmarkEnd w:id="278"/>
    <w:bookmarkStart w:id="280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279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280"/>
    <w:bookmarkStart w:id="282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281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282"/>
    <w:bookmarkStart w:id="284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283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284"/>
    <w:bookmarkStart w:id="286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285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286"/>
    <w:bookmarkStart w:id="287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90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287"/>
    <w:bookmarkStart w:id="288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86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288"/>
    <w:bookmarkStart w:id="289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87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289"/>
    <w:bookmarkStart w:id="291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290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291"/>
    <w:bookmarkStart w:id="293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292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293"/>
    <w:bookmarkStart w:id="295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294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295"/>
    <w:bookmarkStart w:id="297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296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297"/>
    <w:bookmarkStart w:id="299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298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299"/>
    <w:bookmarkStart w:id="300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300"/>
    <w:bookmarkStart w:id="302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301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302"/>
    <w:bookmarkStart w:id="304" w:name="ref-stats_allowlist_pr6"/>
    <w:p>
      <w:pPr>
        <w:pStyle w:val="Bibliography"/>
      </w:pPr>
      <w:r>
        <w:t xml:space="preserve">Morrison Lab. 2026c.</w:t>
      </w:r>
      <w:r>
        <w:t xml:space="preserve"> </w:t>
      </w:r>
      <w:r>
        <w:rPr>
          <w:i/>
          <w:iCs/>
        </w:rPr>
        <w:t xml:space="preserve">Merge Additional Hosts into Claude Allowlist; Prune Redundant and Risky Entries</w:t>
      </w:r>
      <w:r>
        <w:t xml:space="preserve">. GitHub pull request.</w:t>
      </w:r>
      <w:r>
        <w:t xml:space="preserve"> </w:t>
      </w:r>
      <w:hyperlink r:id="rId303">
        <w:r>
          <w:rPr>
            <w:rStyle w:val="Hyperlink"/>
          </w:rPr>
          <w:t xml:space="preserve">https://github.com/Morrison-Lab/stats-allowlist/pull/6</w:t>
        </w:r>
      </w:hyperlink>
      <w:r>
        <w:t xml:space="preserve">.</w:t>
      </w:r>
    </w:p>
    <w:bookmarkEnd w:id="304"/>
    <w:bookmarkStart w:id="305" w:name="ref-stats_allowlist"/>
    <w:p>
      <w:pPr>
        <w:pStyle w:val="Bibliography"/>
      </w:pPr>
      <w:r>
        <w:t xml:space="preserve">Morrison Lab. 2026d.</w:t>
      </w:r>
      <w:r>
        <w:t xml:space="preserve"> </w:t>
      </w:r>
      <w:r>
        <w:rPr>
          <w:i/>
          <w:iCs/>
        </w:rPr>
        <w:t xml:space="preserve">Stats-Allowlist: Network Allowlists for AI Coding Agents</w:t>
      </w:r>
      <w:r>
        <w:t xml:space="preserve">. GitHub repository.</w:t>
      </w:r>
      <w:r>
        <w:t xml:space="preserve"> </w:t>
      </w:r>
      <w:hyperlink r:id="rId255">
        <w:r>
          <w:rPr>
            <w:rStyle w:val="Hyperlink"/>
          </w:rPr>
          <w:t xml:space="preserve">https://github.com/Morrison-Lab/stats-allowlist</w:t>
        </w:r>
      </w:hyperlink>
      <w:r>
        <w:t xml:space="preserve">.</w:t>
      </w:r>
    </w:p>
    <w:bookmarkEnd w:id="305"/>
    <w:bookmarkStart w:id="306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201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306"/>
    <w:bookmarkStart w:id="308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307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308"/>
    <w:bookmarkStart w:id="309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162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309"/>
    <w:bookmarkStart w:id="310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165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310"/>
    <w:bookmarkStart w:id="311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163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311"/>
    <w:bookmarkStart w:id="312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155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312"/>
    <w:bookmarkStart w:id="313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153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313"/>
    <w:bookmarkStart w:id="314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161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314"/>
    <w:bookmarkStart w:id="315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160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315"/>
    <w:bookmarkStart w:id="316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156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316"/>
    <w:bookmarkStart w:id="317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152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317"/>
    <w:bookmarkStart w:id="318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166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318"/>
    <w:bookmarkStart w:id="319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169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319"/>
    <w:bookmarkStart w:id="320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164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320"/>
    <w:bookmarkStart w:id="321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151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321"/>
    <w:bookmarkStart w:id="322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158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322"/>
    <w:bookmarkStart w:id="323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157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323"/>
    <w:bookmarkStart w:id="324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154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324"/>
    <w:bookmarkStart w:id="325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159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325"/>
    <w:bookmarkStart w:id="327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326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327"/>
    <w:bookmarkStart w:id="329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328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329"/>
    <w:bookmarkStart w:id="331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330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331"/>
    <w:bookmarkStart w:id="333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332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333"/>
    <w:bookmarkStart w:id="335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334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335"/>
    <w:bookmarkStart w:id="337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336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337"/>
    <w:bookmarkStart w:id="339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338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339"/>
    <w:bookmarkStart w:id="341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340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341"/>
    <w:bookmarkStart w:id="342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136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342"/>
    <w:bookmarkStart w:id="344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343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344"/>
    <w:bookmarkStart w:id="346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345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346"/>
    <w:bookmarkStart w:id="347" w:name="ref-obra_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9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47"/>
    <w:bookmarkStart w:id="349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348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349"/>
    <w:bookmarkEnd w:id="350"/>
    <w:bookmarkEnd w:id="3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60" Target="https://code.claude.com/docs/en/claude-code-on-the-web" TargetMode="External" /><Relationship Type="http://schemas.openxmlformats.org/officeDocument/2006/relationships/hyperlink" Id="rId267" Target="https://code.claude.com/docs/en/cloud-environments" TargetMode="External" /><Relationship Type="http://schemas.openxmlformats.org/officeDocument/2006/relationships/hyperlink" Id="rId261" Target="https://code.claude.com/docs/en/commands" TargetMode="External" /><Relationship Type="http://schemas.openxmlformats.org/officeDocument/2006/relationships/hyperlink" Id="rId269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73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307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45" Target="https://docs.tessl.io/" TargetMode="External" /><Relationship Type="http://schemas.openxmlformats.org/officeDocument/2006/relationships/hyperlink" Id="rId326" Target="https://docs.tessl.io/introduction-to-tessl/core-concepts" TargetMode="External" /><Relationship Type="http://schemas.openxmlformats.org/officeDocument/2006/relationships/hyperlink" Id="rId328" Target="https://docs.tessl.io/introduction-to-tessl/set-up-tessl/installation" TargetMode="External" /><Relationship Type="http://schemas.openxmlformats.org/officeDocument/2006/relationships/hyperlink" Id="rId332" Target="https://docs.tessl.io/legal/sharing-usage-data" TargetMode="External" /><Relationship Type="http://schemas.openxmlformats.org/officeDocument/2006/relationships/hyperlink" Id="rId336" Target="https://docs.tessl.io/support/faqs" TargetMode="External" /><Relationship Type="http://schemas.openxmlformats.org/officeDocument/2006/relationships/hyperlink" Id="rId334" Target="https://docs.tessl.io/support/supported-platforms" TargetMode="External" /><Relationship Type="http://schemas.openxmlformats.org/officeDocument/2006/relationships/hyperlink" Id="rId330" Target="https://docs.tessl.io/tutorials/protecting-against-insecure-skills" TargetMode="External" /><Relationship Type="http://schemas.openxmlformats.org/officeDocument/2006/relationships/hyperlink" Id="rId343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75" Target="https://flaviocopes.com/herdr/" TargetMode="External" /><Relationship Type="http://schemas.openxmlformats.org/officeDocument/2006/relationships/hyperlink" Id="rId296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301" Target="https://github.com/Morrison-Lab/ai-config/blob/main/skills/delegate-to-codex/SKILL.md" TargetMode="External" /><Relationship Type="http://schemas.openxmlformats.org/officeDocument/2006/relationships/hyperlink" Id="rId255" Target="https://github.com/Morrison-Lab/stats-allowlist" TargetMode="External" /><Relationship Type="http://schemas.openxmlformats.org/officeDocument/2006/relationships/hyperlink" Id="rId254" Target="https://github.com/Morrison-Lab/stats-allowlist/blob/main/claude-allowlist.txt" TargetMode="External" /><Relationship Type="http://schemas.openxmlformats.org/officeDocument/2006/relationships/hyperlink" Id="rId303" Target="https://github.com/Morrison-Lab/stats-allowlist/pull/6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298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81" Target="https://herdr.dev/docs/agents/" TargetMode="External" /><Relationship Type="http://schemas.openxmlformats.org/officeDocument/2006/relationships/hyperlink" Id="rId283" Target="https://herdr.dev/docs/concepts/" TargetMode="External" /><Relationship Type="http://schemas.openxmlformats.org/officeDocument/2006/relationships/hyperlink" Id="rId285" Target="https://herdr.dev/docs/connecting-machines/" TargetMode="External" /><Relationship Type="http://schemas.openxmlformats.org/officeDocument/2006/relationships/hyperlink" Id="rId290" Target="https://herdr.dev/docs/install/" TargetMode="External" /><Relationship Type="http://schemas.openxmlformats.org/officeDocument/2006/relationships/hyperlink" Id="rId292" Target="https://herdr.dev/docs/session-state/" TargetMode="External" /><Relationship Type="http://schemas.openxmlformats.org/officeDocument/2006/relationships/hyperlink" Id="rId294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79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71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38" Target="https://tessl.io/pricing" TargetMode="External" /><Relationship Type="http://schemas.openxmlformats.org/officeDocument/2006/relationships/hyperlink" Id="rId340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48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60" Target="https://code.claude.com/docs/en/claude-code-on-the-web" TargetMode="External" /><Relationship Type="http://schemas.openxmlformats.org/officeDocument/2006/relationships/hyperlink" Id="rId267" Target="https://code.claude.com/docs/en/cloud-environments" TargetMode="External" /><Relationship Type="http://schemas.openxmlformats.org/officeDocument/2006/relationships/hyperlink" Id="rId261" Target="https://code.claude.com/docs/en/commands" TargetMode="External" /><Relationship Type="http://schemas.openxmlformats.org/officeDocument/2006/relationships/hyperlink" Id="rId269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73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307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45" Target="https://docs.tessl.io/" TargetMode="External" /><Relationship Type="http://schemas.openxmlformats.org/officeDocument/2006/relationships/hyperlink" Id="rId326" Target="https://docs.tessl.io/introduction-to-tessl/core-concepts" TargetMode="External" /><Relationship Type="http://schemas.openxmlformats.org/officeDocument/2006/relationships/hyperlink" Id="rId328" Target="https://docs.tessl.io/introduction-to-tessl/set-up-tessl/installation" TargetMode="External" /><Relationship Type="http://schemas.openxmlformats.org/officeDocument/2006/relationships/hyperlink" Id="rId332" Target="https://docs.tessl.io/legal/sharing-usage-data" TargetMode="External" /><Relationship Type="http://schemas.openxmlformats.org/officeDocument/2006/relationships/hyperlink" Id="rId336" Target="https://docs.tessl.io/support/faqs" TargetMode="External" /><Relationship Type="http://schemas.openxmlformats.org/officeDocument/2006/relationships/hyperlink" Id="rId334" Target="https://docs.tessl.io/support/supported-platforms" TargetMode="External" /><Relationship Type="http://schemas.openxmlformats.org/officeDocument/2006/relationships/hyperlink" Id="rId330" Target="https://docs.tessl.io/tutorials/protecting-against-insecure-skills" TargetMode="External" /><Relationship Type="http://schemas.openxmlformats.org/officeDocument/2006/relationships/hyperlink" Id="rId343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75" Target="https://flaviocopes.com/herdr/" TargetMode="External" /><Relationship Type="http://schemas.openxmlformats.org/officeDocument/2006/relationships/hyperlink" Id="rId296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301" Target="https://github.com/Morrison-Lab/ai-config/blob/main/skills/delegate-to-codex/SKILL.md" TargetMode="External" /><Relationship Type="http://schemas.openxmlformats.org/officeDocument/2006/relationships/hyperlink" Id="rId255" Target="https://github.com/Morrison-Lab/stats-allowlist" TargetMode="External" /><Relationship Type="http://schemas.openxmlformats.org/officeDocument/2006/relationships/hyperlink" Id="rId254" Target="https://github.com/Morrison-Lab/stats-allowlist/blob/main/claude-allowlist.txt" TargetMode="External" /><Relationship Type="http://schemas.openxmlformats.org/officeDocument/2006/relationships/hyperlink" Id="rId303" Target="https://github.com/Morrison-Lab/stats-allowlist/pull/6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298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81" Target="https://herdr.dev/docs/agents/" TargetMode="External" /><Relationship Type="http://schemas.openxmlformats.org/officeDocument/2006/relationships/hyperlink" Id="rId283" Target="https://herdr.dev/docs/concepts/" TargetMode="External" /><Relationship Type="http://schemas.openxmlformats.org/officeDocument/2006/relationships/hyperlink" Id="rId285" Target="https://herdr.dev/docs/connecting-machines/" TargetMode="External" /><Relationship Type="http://schemas.openxmlformats.org/officeDocument/2006/relationships/hyperlink" Id="rId290" Target="https://herdr.dev/docs/install/" TargetMode="External" /><Relationship Type="http://schemas.openxmlformats.org/officeDocument/2006/relationships/hyperlink" Id="rId292" Target="https://herdr.dev/docs/session-state/" TargetMode="External" /><Relationship Type="http://schemas.openxmlformats.org/officeDocument/2006/relationships/hyperlink" Id="rId294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79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71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38" Target="https://tessl.io/pricing" TargetMode="External" /><Relationship Type="http://schemas.openxmlformats.org/officeDocument/2006/relationships/hyperlink" Id="rId340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48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Configuring and Extending Agents</dc:title>
  <dc:creator/>
  <cp:keywords/>
  <dcterms:created xsi:type="dcterms:W3CDTF">2026-10-05T10:13:12Z</dcterms:created>
  <dcterms:modified xsi:type="dcterms:W3CDTF">2026-10-05T10:13:12Z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03:10:24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