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2026-08-29 22:10:28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41"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1"/>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1"/>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1"/>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1"/>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1">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2"/>
        </w:numPr>
      </w:pPr>
      <w:r>
        <w:rPr>
          <w:b/>
          <w:bCs/>
        </w:rPr>
        <w:t xml:space="preserve">Do:</w:t>
      </w:r>
      <w:r>
        <w:t xml:space="preserve"> </w:t>
      </w:r>
      <w:r>
        <w:t xml:space="preserve">finish pushing, then dispatch once, and name in the status report which run you are waiting on.</w:t>
      </w:r>
    </w:p>
    <w:p>
      <w:pPr>
        <w:pStyle w:val="Compact"/>
        <w:numPr>
          <w:ilvl w:val="0"/>
          <w:numId w:val="1012"/>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2"/>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2"/>
        </w:numPr>
      </w:pPr>
      <w:r>
        <w:rPr>
          <w:b/>
          <w:bCs/>
        </w:rPr>
        <w:t xml:space="preserve">Don’t:</w:t>
      </w:r>
      <w:r>
        <w:t xml:space="preserve"> </w:t>
      </w:r>
      <w:r>
        <w:t xml:space="preserve">dispatch per push — each one cancels the last, and the round spends review time producing nothing.</w:t>
      </w:r>
    </w:p>
    <w:p>
      <w:pPr>
        <w:pStyle w:val="Compact"/>
        <w:numPr>
          <w:ilvl w:val="0"/>
          <w:numId w:val="1012"/>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2"/>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24">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3"/>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3"/>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3"/>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3"/>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32">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14"/>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14"/>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14"/>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14"/>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33">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4">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5"/>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5"/>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5"/>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5"/>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40"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19"/>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5">
        <w:r>
          <w:rPr>
            <w:rStyle w:val="VerbatimChar"/>
          </w:rPr>
          <w:t xml:space="preserve">fail-fast</w:t>
        </w:r>
      </w:hyperlink>
      <w:r>
        <w:t xml:space="preserve">).</w:t>
      </w:r>
    </w:p>
    <w:p>
      <w:pPr>
        <w:pStyle w:val="Compact"/>
        <w:numPr>
          <w:ilvl w:val="0"/>
          <w:numId w:val="102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6">
        <w:r>
          <w:rPr>
            <w:rStyle w:val="VerbatimChar"/>
          </w:rPr>
          <w:t xml:space="preserve">sync-with-main</w:t>
        </w:r>
      </w:hyperlink>
      <w:r>
        <w:t xml:space="preserve">).</w:t>
      </w:r>
    </w:p>
    <w:p>
      <w:pPr>
        <w:pStyle w:val="Compact"/>
        <w:numPr>
          <w:ilvl w:val="0"/>
          <w:numId w:val="102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37">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3"/>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3"/>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3"/>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3"/>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4"/>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4"/>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4"/>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4"/>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5"/>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5"/>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5"/>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5"/>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6"/>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6"/>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6"/>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6"/>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7"/>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7"/>
        </w:numPr>
      </w:pPr>
      <w:r>
        <w:rPr>
          <w:b/>
          <w:bCs/>
        </w:rPr>
        <w:t xml:space="preserve">Do:</w:t>
      </w:r>
      <w:r>
        <w:t xml:space="preserve"> </w:t>
      </w:r>
      <w:r>
        <w:t xml:space="preserve">correct a published wrong SHA with a visible note naming the real one.</w:t>
      </w:r>
    </w:p>
    <w:p>
      <w:pPr>
        <w:pStyle w:val="Compact"/>
        <w:numPr>
          <w:ilvl w:val="0"/>
          <w:numId w:val="1027"/>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7"/>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7"/>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8"/>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8"/>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8"/>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8"/>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8"/>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9"/>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9"/>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0"/>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0"/>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0"/>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0"/>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1"/>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1"/>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1"/>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1"/>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32"/>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32"/>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32"/>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32"/>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3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33"/>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33"/>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33"/>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33"/>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3">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34"/>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34"/>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5"/>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5"/>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5"/>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5"/>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5"/>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5"/>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6"/>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6"/>
        </w:numPr>
      </w:pPr>
      <w:r>
        <w:rPr>
          <w:b/>
          <w:bCs/>
        </w:rPr>
        <w:t xml:space="preserve">Don’t:</w:t>
      </w:r>
      <w:r>
        <w:t xml:space="preserve"> </w:t>
      </w:r>
      <w:r>
        <w:t xml:space="preserve">treat green CI as evidence that a claimed fix landed.</w:t>
      </w:r>
    </w:p>
    <w:p>
      <w:pPr>
        <w:pStyle w:val="Compact"/>
        <w:numPr>
          <w:ilvl w:val="0"/>
          <w:numId w:val="1036"/>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7"/>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7"/>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7"/>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7"/>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8"/>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8"/>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8"/>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4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4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40"/>
        </w:numPr>
      </w:pPr>
      <w:r>
        <w:rPr>
          <w:b/>
          <w:bCs/>
        </w:rPr>
        <w:t xml:space="preserve">Don’t:</w:t>
      </w:r>
      <w:r>
        <w:t xml:space="preserve"> </w:t>
      </w:r>
      <w:r>
        <w:t xml:space="preserve">use one mechanism’s own name as a generic word for its category.</w:t>
      </w:r>
    </w:p>
    <w:p>
      <w:pPr>
        <w:pStyle w:val="Compact"/>
        <w:numPr>
          <w:ilvl w:val="0"/>
          <w:numId w:val="104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4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4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4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4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4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4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4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4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4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4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4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4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4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4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4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4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38">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4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4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4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4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4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9">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6"/>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6"/>
        </w:numPr>
      </w:pPr>
      <w:r>
        <w:rPr>
          <w:b/>
          <w:bCs/>
        </w:rPr>
        <w:t xml:space="preserve">Do:</w:t>
      </w:r>
      <w:r>
        <w:t xml:space="preserve"> </w:t>
      </w:r>
      <w:r>
        <w:t xml:space="preserve">cite the file or command you checked, so the claim stays falsifiable.</w:t>
      </w:r>
    </w:p>
    <w:p>
      <w:pPr>
        <w:pStyle w:val="Compact"/>
        <w:numPr>
          <w:ilvl w:val="0"/>
          <w:numId w:val="1046"/>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6"/>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7"/>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7"/>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7"/>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8"/>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8"/>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8"/>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8"/>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8"/>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9"/>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9"/>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9"/>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9"/>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50"/>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50"/>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50"/>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50"/>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50"/>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51"/>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51"/>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51"/>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51"/>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52"/>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52"/>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52"/>
        </w:numPr>
      </w:pPr>
      <w:r>
        <w:rPr>
          <w:b/>
          <w:bCs/>
        </w:rPr>
        <w:t xml:space="preserve">Don’t:</w:t>
      </w:r>
      <w:r>
        <w:t xml:space="preserve"> </w:t>
      </w:r>
      <w:r>
        <w:t xml:space="preserve">substitute a production script’s exit code for its test file.</w:t>
      </w:r>
    </w:p>
    <w:p>
      <w:pPr>
        <w:pStyle w:val="Compact"/>
        <w:numPr>
          <w:ilvl w:val="0"/>
          <w:numId w:val="1052"/>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53"/>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53"/>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53"/>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53"/>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54"/>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54"/>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54"/>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54"/>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40"/>
    <w:bookmarkEnd w:id="41"/>
    <w:bookmarkStart w:id="5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42">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55"/>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6"/>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6"/>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7"/>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7"/>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7"/>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8"/>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8"/>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8"/>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8"/>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8"/>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9"/>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9"/>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9"/>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9"/>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9"/>
        </w:numPr>
      </w:pPr>
      <w:r>
        <w:rPr>
          <w:b/>
          <w:bCs/>
        </w:rPr>
        <w:t xml:space="preserve">Don’t:</w:t>
      </w:r>
      <w:r>
        <w:t xml:space="preserve"> </w:t>
      </w:r>
      <w:r>
        <w:t xml:space="preserve">offer a reason for the omission — none was established.</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60"/>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60"/>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00"/>
        </w:numPr>
      </w:pPr>
      <w:r>
        <w:rPr>
          <w:b/>
          <w:bCs/>
        </w:rPr>
        <w:t xml:space="preserve">A job’s conclusion is set by whichever step failed, which need not be the step whose verdict you read.</w:t>
      </w:r>
      <w:r>
        <w:t xml:space="preserve"> </w:t>
      </w:r>
      <w:r>
        <w:t xml:space="preserve">Every rule above is about an enumeration that came back short.</w:t>
      </w:r>
      <w:r>
        <w:t xml:space="preserve"> </w:t>
      </w:r>
      <w:r>
        <w:t xml:space="preserve">This one is the opposite case: the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61"/>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61"/>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61"/>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61"/>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25">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44">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62"/>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62"/>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62"/>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62"/>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45">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55"/>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9">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comes from Claude where Claude is reachable.</w:t>
      </w:r>
      <w:r>
        <w:t xml:space="preserve"> </w:t>
      </w:r>
      <w:r>
        <w:t xml:space="preserve">Another agent’s clean verdict clears CI’s review gate; it does not clear</w:t>
      </w:r>
      <w:r>
        <w:t xml:space="preserve"> </w:t>
      </w:r>
      <w:r>
        <w:t xml:space="preserve">criterion 2 on its own.</w:t>
      </w:r>
    </w:p>
    <w:p>
      <w:pPr>
        <w:pStyle w:val="BodyText"/>
      </w:pPr>
      <w:r>
        <w:t xml:space="preserve">This is a directive rather than a derivation, so treat it as a standing</w:t>
      </w:r>
      <w:r>
        <w:t xml:space="preserve"> </w:t>
      </w:r>
      <w:r>
        <w:t xml:space="preserve">preference and not as a claim about any agent’s general competence.</w:t>
      </w:r>
      <w:r>
        <w:t xml:space="preserve"> </w:t>
      </w:r>
      <w:r>
        <w:t xml:space="preserve">What it settles is which verdict a PR is reported</w:t>
      </w:r>
      <w:r>
        <w:t xml:space="preserve"> </w:t>
      </w:r>
      <w:r>
        <w:rPr>
          <w:b/>
          <w:bCs/>
        </w:rPr>
        <w:t xml:space="preserve">ready</w:t>
      </w:r>
      <w:r>
        <w:t xml:space="preserve"> </w:t>
      </w:r>
      <w:r>
        <w:t xml:space="preserve">on.</w:t>
      </w:r>
    </w:p>
    <w:p>
      <w:pPr>
        <w:pStyle w:val="BodyText"/>
      </w:pPr>
      <w:r>
        <w:t xml:space="preserve">The reason it needs stating is that the two are indistinguishable from the PR</w:t>
      </w:r>
      <w:r>
        <w:t xml:space="preserve"> </w:t>
      </w:r>
      <w:r>
        <w:t xml:space="preserve">page.</w:t>
      </w:r>
      <w:r>
        <w:t xml:space="preserve"> </w:t>
      </w:r>
      <w:r>
        <w:t xml:space="preserve">Every agent posts the same shape — a summary, some analysis, a positive</w:t>
      </w:r>
      <w:r>
        <w:t xml:space="preserve"> </w:t>
      </w:r>
      <w:r>
        <w:t xml:space="preserve">closing line — so a findings-free report reads as approval whichever agent</w:t>
      </w:r>
      <w:r>
        <w:t xml:space="preserve"> </w:t>
      </w:r>
      <w:r>
        <w:t xml:space="preserve">produced it, and the review-gate check goes green either way.</w:t>
      </w:r>
    </w:p>
    <w:p>
      <w:pPr>
        <w:pStyle w:val="BodyText"/>
      </w:pPr>
      <w:r>
        <w:t xml:space="preserve">Two failure modes make the preference concrete, and both have recurred:</w:t>
      </w:r>
    </w:p>
    <w:p>
      <w:pPr>
        <w:pStyle w:val="Compact"/>
        <w:numPr>
          <w:ilvl w:val="0"/>
          <w:numId w:val="1063"/>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63"/>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Claude is reachable, its verdict is the one to report on:</w:t>
      </w:r>
    </w:p>
    <w:p>
      <w:pPr>
        <w:pStyle w:val="Compact"/>
        <w:numPr>
          <w:ilvl w:val="0"/>
          <w:numId w:val="1064"/>
        </w:numPr>
      </w:pPr>
      <w:r>
        <w:rPr>
          <w:b/>
          <w:bCs/>
        </w:rPr>
        <w:t xml:space="preserve">Do:</w:t>
      </w:r>
      <w:r>
        <w:t xml:space="preserve"> </w:t>
      </w:r>
      <w:r>
        <w:t xml:space="preserve">dispatch a Claude review and wait for its verdict before reporting a</w:t>
      </w:r>
      <w:r>
        <w:t xml:space="preserve"> </w:t>
      </w:r>
      <w:r>
        <w:t xml:space="preserve">PR ready, whatever another agent has already said.</w:t>
      </w:r>
    </w:p>
    <w:p>
      <w:pPr>
        <w:pStyle w:val="Compact"/>
        <w:numPr>
          <w:ilvl w:val="0"/>
          <w:numId w:val="1064"/>
        </w:numPr>
      </w:pPr>
      <w:r>
        <w:rPr>
          <w:b/>
          <w:bCs/>
        </w:rPr>
        <w:t xml:space="preserve">Do:</w:t>
      </w:r>
      <w:r>
        <w:t xml:space="preserve"> </w:t>
      </w:r>
      <w:r>
        <w:t xml:space="preserve">name which agent produced the verdict you are reporting, so</w:t>
      </w:r>
      <w:r>
        <w:t xml:space="preserve"> </w:t>
      </w:r>
      <w:r>
        <w:t xml:space="preserve">“clean”</w:t>
      </w:r>
      <w:r>
        <w:t xml:space="preserve"> </w:t>
      </w:r>
      <w:r>
        <w:t xml:space="preserve">is attributable rather than anonymous.</w:t>
      </w:r>
    </w:p>
    <w:p>
      <w:pPr>
        <w:pStyle w:val="Compact"/>
        <w:numPr>
          <w:ilvl w:val="0"/>
          <w:numId w:val="1064"/>
        </w:numPr>
      </w:pPr>
      <w:r>
        <w:rPr>
          <w:b/>
          <w:bCs/>
        </w:rPr>
        <w:t xml:space="preserve">Do:</w:t>
      </w:r>
      <w:r>
        <w:t xml:space="preserve"> </w:t>
      </w:r>
      <w:r>
        <w:t xml:space="preserve">treat another agent’s findings as real findings — this ranks whose</w:t>
      </w:r>
      <w:r>
        <w:t xml:space="preserve"> </w:t>
      </w:r>
      <w:r>
        <w:rPr>
          <w:i/>
          <w:iCs/>
        </w:rPr>
        <w:t xml:space="preserve">approval</w:t>
      </w:r>
      <w:r>
        <w:t xml:space="preserve"> </w:t>
      </w:r>
      <w:r>
        <w:t xml:space="preserve">is final, not whose objections count.</w:t>
      </w:r>
    </w:p>
    <w:p>
      <w:pPr>
        <w:pStyle w:val="Compact"/>
        <w:numPr>
          <w:ilvl w:val="0"/>
          <w:numId w:val="1064"/>
        </w:numPr>
      </w:pPr>
      <w:r>
        <w:rPr>
          <w:b/>
          <w:bCs/>
        </w:rPr>
        <w:t xml:space="preserve">Don’t:</w:t>
      </w:r>
      <w:r>
        <w:t xml:space="preserve"> </w:t>
      </w:r>
      <w:r>
        <w:t xml:space="preserve">report a PR ready on a non-Claude clean verdict while Claude is</w:t>
      </w:r>
      <w:r>
        <w:t xml:space="preserve"> </w:t>
      </w:r>
      <w:r>
        <w:t xml:space="preserve">reachable, however thorough that report reads.</w:t>
      </w:r>
    </w:p>
    <w:p>
      <w:pPr>
        <w:pStyle w:val="Compact"/>
        <w:numPr>
          <w:ilvl w:val="0"/>
          <w:numId w:val="1064"/>
        </w:numPr>
      </w:pPr>
      <w:r>
        <w:rPr>
          <w:b/>
          <w:bCs/>
        </w:rPr>
        <w:t xml:space="preserve">Don’t:</w:t>
      </w:r>
      <w:r>
        <w:t xml:space="preserve"> </w:t>
      </w:r>
      <w:r>
        <w:t xml:space="preserve">read a green review-gate check as settling this; the gate does not</w:t>
      </w:r>
      <w:r>
        <w:t xml:space="preserve"> </w:t>
      </w:r>
      <w:r>
        <w:t xml:space="preserve">know which agent answered, and on a selector-based setup the agent is chosen</w:t>
      </w:r>
      <w:r>
        <w:t xml:space="preserve"> </w:t>
      </w:r>
      <w:r>
        <w:t xml:space="preserve">at random.</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33">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still worth chasing, and its clean</w:t>
      </w:r>
      <w:r>
        <w:t xml:space="preserve"> </w:t>
      </w:r>
      <w:r>
        <w:t xml:space="preserve">verdict still is not the one a PR is reported ready on while Claude is</w:t>
      </w:r>
      <w:r>
        <w:t xml:space="preserve"> </w:t>
      </w:r>
      <w:r>
        <w:t xml:space="preserve">reachable.</w:t>
      </w:r>
    </w:p>
    <w:p>
      <w:pPr>
        <w:pStyle w:val="BodyText"/>
      </w:pPr>
      <w:r>
        <w:t xml:space="preserve">Where Claude is genuinely unreachable — quota-skipped, a stub with no stated</w:t>
      </w:r>
      <w:r>
        <w:t xml:space="preserve"> </w:t>
      </w:r>
      <w:r>
        <w:t xml:space="preserve">verdict, or not configured — fall back per</w:t>
      </w:r>
      <w:r>
        <w:t xml:space="preserve"> </w:t>
      </w:r>
      <w:hyperlink r:id="rId33">
        <w:r>
          <w:rPr>
            <w:rStyle w:val="VerbatimChar"/>
          </w:rPr>
          <w:t xml:space="preserve">self-review-fallback</w:t>
        </w:r>
      </w:hyperlink>
      <w:r>
        <w:t xml:space="preserve">, which already governs that</w:t>
      </w:r>
      <w:r>
        <w:t xml:space="preserve"> </w:t>
      </w:r>
      <w:r>
        <w:t xml:space="preserve">case.</w:t>
      </w:r>
      <w:r>
        <w:t xml:space="preserve"> </w:t>
      </w:r>
      <w:r>
        <w:t xml:space="preserve">Another agent’s clean verdict is worth more than nothing there, and it is still</w:t>
      </w:r>
      <w:r>
        <w:t xml:space="preserve"> </w:t>
      </w:r>
      <w:r>
        <w:t xml:space="preserve">not Claude’s; say which one you have.</w:t>
      </w:r>
    </w:p>
    <w:p>
      <w:pPr>
        <w:pStyle w:val="BodyText"/>
      </w:pPr>
      <w:r>
        <w:t xml:space="preserve">See</w:t>
      </w:r>
      <w:r>
        <w:t xml:space="preserve"> </w:t>
      </w:r>
      <w:hyperlink r:id="rId43">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65"/>
        </w:numPr>
      </w:pPr>
      <w:r>
        <w:rPr>
          <w:b/>
          <w:bCs/>
        </w:rPr>
        <w:t xml:space="preserve">Do:</w:t>
      </w:r>
      <w:r>
        <w:t xml:space="preserve"> </w:t>
      </w:r>
      <w:r>
        <w:t xml:space="preserve">derive a verdict per PR number, and name the PR beside each one.</w:t>
      </w:r>
    </w:p>
    <w:p>
      <w:pPr>
        <w:pStyle w:val="Compact"/>
        <w:numPr>
          <w:ilvl w:val="0"/>
          <w:numId w:val="106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6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66"/>
        </w:numPr>
      </w:pPr>
      <w:r>
        <w:rPr>
          <w:b/>
          <w:bCs/>
        </w:rPr>
        <w:t xml:space="preserve">Do:</w:t>
      </w:r>
      <w:r>
        <w:t xml:space="preserve"> </w:t>
      </w:r>
      <w:r>
        <w:t xml:space="preserve">re-derive a posted verification’s groups, not just its total.</w:t>
      </w:r>
    </w:p>
    <w:p>
      <w:pPr>
        <w:pStyle w:val="Compact"/>
        <w:numPr>
          <w:ilvl w:val="0"/>
          <w:numId w:val="106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6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6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6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6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6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6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6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6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6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6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6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6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6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6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6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6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6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6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6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6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6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6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6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7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70"/>
        </w:numPr>
      </w:pPr>
      <w:r>
        <w:rPr>
          <w:b/>
          <w:bCs/>
        </w:rPr>
        <w:t xml:space="preserve">Do:</w:t>
      </w:r>
      <w:r>
        <w:t xml:space="preserve"> </w:t>
      </w:r>
      <w:r>
        <w:t xml:space="preserve">scan the whole review history for it, not only items matching HEAD.</w:t>
      </w:r>
    </w:p>
    <w:p>
      <w:pPr>
        <w:pStyle w:val="Compact"/>
        <w:numPr>
          <w:ilvl w:val="0"/>
          <w:numId w:val="107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7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 (e.g. self-modification workflow guard or quota limits) and falls back to a self-review or human review per</w:t>
      </w:r>
      <w:r>
        <w:t xml:space="preserve"> </w:t>
      </w:r>
      <w:hyperlink r:id="rId33">
        <w:r>
          <w:rPr>
            <w:rStyle w:val="VerbatimChar"/>
          </w:rPr>
          <w:t xml:space="preserve">self-review-fallback</w:t>
        </w:r>
      </w:hyperlink>
      <w:r>
        <w:t xml:space="preserve">, that fallback authorizes</w:t>
      </w:r>
      <w:r>
        <w:t xml:space="preserve"> </w:t>
      </w:r>
      <w:r>
        <w:rPr>
          <w:b/>
          <w:bCs/>
        </w:rPr>
        <w:t xml:space="preserve">merging</w:t>
      </w:r>
      <w:r>
        <w:t xml:space="preserve"> </w:t>
      </w:r>
      <w:r>
        <w:t xml:space="preserve">only in the absence of prior unresolved findings.</w:t>
      </w:r>
      <w:r>
        <w:t xml:space="preserve"> </w:t>
      </w:r>
      <w:r>
        <w:t xml:space="preserve">It does NOT wipe the slate clean, and it does NOT license merging over an unaddressed</w:t>
      </w:r>
      <w:r>
        <w:t xml:space="preserve"> </w:t>
      </w:r>
      <w:r>
        <w:rPr>
          <w:rStyle w:val="VerbatimChar"/>
        </w:rPr>
        <w:t xml:space="preserve">Needs more work</w:t>
      </w:r>
      <w:r>
        <w:t xml:space="preserve"> </w:t>
      </w:r>
      <w:r>
        <w:t xml:space="preserve">verdict or open finding list from an earlier or concurrent review run.</w:t>
      </w:r>
    </w:p>
    <w:p>
      <w:pPr>
        <w:pStyle w:val="Compact"/>
        <w:numPr>
          <w:ilvl w:val="0"/>
          <w:numId w:val="107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7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7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7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7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7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7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3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46">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3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47">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7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7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7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t xml:space="preserve">(Measured 2026-08-19 on a remote session driving</w:t>
      </w:r>
      <w:r>
        <w:t xml:space="preserve"> </w:t>
      </w:r>
      <w:hyperlink r:id="rId48">
        <w:r>
          <w:rPr>
            <w:rStyle w:val="Hyperlink"/>
          </w:rPr>
          <w:t xml:space="preserve">ai-config#1673</w:t>
        </w:r>
      </w:hyperlink>
      <w:r>
        <w:t xml:space="preserve">.</w:t>
      </w:r>
      <w:r>
        <w:t xml:space="preserve"> </w:t>
      </w:r>
      <w:r>
        <w:t xml:space="preserve">Tracked as</w:t>
      </w:r>
      <w:r>
        <w:t xml:space="preserve"> </w:t>
      </w:r>
      <w:hyperlink r:id="rId49">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75"/>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75"/>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75"/>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75"/>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75"/>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75"/>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75"/>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76"/>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76"/>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33">
        <w:r>
          <w:rPr>
            <w:rStyle w:val="VerbatimChar"/>
          </w:rPr>
          <w:t xml:space="preserve">self-review-fallback</w:t>
        </w:r>
      </w:hyperlink>
      <w:r>
        <w:t xml:space="preserve">.</w:t>
      </w:r>
    </w:p>
    <w:p>
      <w:pPr>
        <w:pStyle w:val="Compact"/>
        <w:numPr>
          <w:ilvl w:val="0"/>
          <w:numId w:val="1076"/>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76"/>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0">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77"/>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77"/>
        </w:numPr>
      </w:pPr>
      <w:r>
        <w:rPr>
          <w:b/>
          <w:bCs/>
        </w:rPr>
        <w:t xml:space="preserve">Do:</w:t>
      </w:r>
      <w:r>
        <w:t xml:space="preserve"> </w:t>
      </w:r>
      <w:r>
        <w:t xml:space="preserve">check a comment’s admission against its body markers, not its author.</w:t>
      </w:r>
    </w:p>
    <w:p>
      <w:pPr>
        <w:pStyle w:val="Compact"/>
        <w:numPr>
          <w:ilvl w:val="0"/>
          <w:numId w:val="1077"/>
        </w:numPr>
      </w:pPr>
      <w:r>
        <w:rPr>
          <w:b/>
          <w:bCs/>
        </w:rPr>
        <w:t xml:space="preserve">Don’t:</w:t>
      </w:r>
      <w:r>
        <w:t xml:space="preserve"> </w:t>
      </w:r>
      <w:r>
        <w:t xml:space="preserve">generalize one loop’s filter to a neighbouring loop in the same function.</w:t>
      </w:r>
    </w:p>
    <w:p>
      <w:pPr>
        <w:pStyle w:val="Compact"/>
        <w:numPr>
          <w:ilvl w:val="0"/>
          <w:numId w:val="1077"/>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42">
        <w:r>
          <w:rPr>
            <w:rStyle w:val="VerbatimChar"/>
          </w:rPr>
          <w:t xml:space="preserve">fully-clean.rationale.md</w:t>
        </w:r>
      </w:hyperlink>
      <w:r>
        <w:t xml:space="preserve"> </w:t>
      </w:r>
      <w:r>
        <w:t xml:space="preserve">for both mechanisms, and</w:t>
      </w:r>
      <w:r>
        <w:t xml:space="preserve"> </w:t>
      </w:r>
      <w:hyperlink r:id="rId43">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78"/>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78"/>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78"/>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78"/>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079"/>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079"/>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079"/>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80"/>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80"/>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81"/>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81"/>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81"/>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82"/>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82"/>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82"/>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82"/>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83"/>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83"/>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83"/>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83"/>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83"/>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51"/>
    <w:bookmarkStart w:id="57"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52">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84"/>
        </w:numPr>
      </w:pPr>
      <w:r>
        <w:rPr>
          <w:b/>
          <w:bCs/>
        </w:rPr>
        <w:t xml:space="preserve">Fix it in this PR.</w:t>
      </w:r>
      <w:r>
        <w:t xml:space="preserve"> </w:t>
      </w:r>
      <w:r>
        <w:t xml:space="preserve">The default path — most nits are 1–3 line changes.</w:t>
      </w:r>
    </w:p>
    <w:p>
      <w:pPr>
        <w:pStyle w:val="Compact"/>
        <w:numPr>
          <w:ilvl w:val="0"/>
          <w:numId w:val="108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7">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85"/>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85"/>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85"/>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85"/>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85"/>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86"/>
        </w:numPr>
      </w:pPr>
      <w:r>
        <w:rPr>
          <w:b/>
          <w:bCs/>
        </w:rPr>
        <w:t xml:space="preserve">Do:</w:t>
      </w:r>
      <w:r>
        <w:t xml:space="preserve"> </w:t>
      </w:r>
      <w:r>
        <w:t xml:space="preserve">run the derived sweep over every branch in the stack, and report the per-branch counts.</w:t>
      </w:r>
    </w:p>
    <w:p>
      <w:pPr>
        <w:pStyle w:val="Compact"/>
        <w:numPr>
          <w:ilvl w:val="0"/>
          <w:numId w:val="1086"/>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86"/>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87"/>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87"/>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87"/>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87"/>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87"/>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88"/>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88"/>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88"/>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88"/>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89"/>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89"/>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89"/>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89"/>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89"/>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090"/>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090"/>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91"/>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91"/>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91"/>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91"/>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092"/>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092"/>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092"/>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092"/>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93"/>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93"/>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93"/>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93"/>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94"/>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94"/>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95"/>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95"/>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95"/>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96"/>
        </w:numPr>
      </w:pPr>
      <w:r>
        <w:rPr>
          <w:b/>
          <w:bCs/>
        </w:rPr>
        <w:t xml:space="preserve">Do:</w:t>
      </w:r>
      <w:r>
        <w:t xml:space="preserve"> </w:t>
      </w:r>
      <w:r>
        <w:t xml:space="preserve">describe the change, and let CI report CI.</w:t>
      </w:r>
    </w:p>
    <w:p>
      <w:pPr>
        <w:pStyle w:val="Compact"/>
        <w:numPr>
          <w:ilvl w:val="0"/>
          <w:numId w:val="1096"/>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96"/>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96"/>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97"/>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97"/>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97"/>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97"/>
        </w:numPr>
      </w:pPr>
      <w:r>
        <w:rPr>
          <w:b/>
          <w:bCs/>
        </w:rPr>
        <w:t xml:space="preserve">Don’t:</w:t>
      </w:r>
      <w:r>
        <w:t xml:space="preserve"> </w:t>
      </w:r>
      <w:r>
        <w:t xml:space="preserve">rely on past tense alone to carry the distinction.</w:t>
      </w:r>
    </w:p>
    <w:p>
      <w:pPr>
        <w:pStyle w:val="Compact"/>
        <w:numPr>
          <w:ilvl w:val="0"/>
          <w:numId w:val="1097"/>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98"/>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98"/>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98"/>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98"/>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99"/>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99"/>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99"/>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00"/>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00"/>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00"/>
        </w:numPr>
      </w:pPr>
      <w:r>
        <w:rPr>
          <w:b/>
          <w:bCs/>
        </w:rPr>
        <w:t xml:space="preserve">Don’t:</w:t>
      </w:r>
      <w:r>
        <w:t xml:space="preserve"> </w:t>
      </w:r>
      <w:r>
        <w:t xml:space="preserve">enumerate which markup to strip and treat that list as the fix.</w:t>
      </w:r>
    </w:p>
    <w:p>
      <w:pPr>
        <w:pStyle w:val="Compact"/>
        <w:numPr>
          <w:ilvl w:val="0"/>
          <w:numId w:val="1100"/>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01"/>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01"/>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01"/>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01"/>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01"/>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0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02"/>
        </w:numPr>
      </w:pPr>
      <w:r>
        <w:rPr>
          <w:b/>
          <w:bCs/>
        </w:rPr>
        <w:t xml:space="preserve">Reply</w:t>
      </w:r>
      <w:r>
        <w:t xml:space="preserve"> </w:t>
      </w:r>
      <w:r>
        <w:t xml:space="preserve">on each thread, citing that SHA.</w:t>
      </w:r>
    </w:p>
    <w:p>
      <w:pPr>
        <w:pStyle w:val="Compact"/>
        <w:numPr>
          <w:ilvl w:val="0"/>
          <w:numId w:val="1102"/>
        </w:numPr>
      </w:pPr>
      <w:r>
        <w:rPr>
          <w:b/>
          <w:bCs/>
        </w:rPr>
        <w:t xml:space="preserve">Push.</w:t>
      </w:r>
      <w:r>
        <w:t xml:space="preserve"> </w:t>
      </w:r>
      <w:r>
        <w:t xml:space="preserve">The next review’s snapshot already contains the replies.</w:t>
      </w:r>
    </w:p>
    <w:p>
      <w:pPr>
        <w:pStyle w:val="Compact"/>
        <w:numPr>
          <w:ilvl w:val="0"/>
          <w:numId w:val="1103"/>
        </w:numPr>
      </w:pPr>
      <w:r>
        <w:rPr>
          <w:b/>
          <w:bCs/>
        </w:rPr>
        <w:t xml:space="preserve">Do:</w:t>
      </w:r>
      <w:r>
        <w:t xml:space="preserve"> </w:t>
      </w:r>
      <w:r>
        <w:t xml:space="preserve">commit, reply citing the committed SHA, then push — in that order.</w:t>
      </w:r>
    </w:p>
    <w:p>
      <w:pPr>
        <w:pStyle w:val="Compact"/>
        <w:numPr>
          <w:ilvl w:val="0"/>
          <w:numId w:val="110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0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0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0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0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1">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05"/>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05"/>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05"/>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05"/>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06"/>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06"/>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06"/>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06"/>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07"/>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07"/>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07"/>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07"/>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08"/>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08"/>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08"/>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08"/>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09"/>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09"/>
        </w:numPr>
      </w:pPr>
      <w:r>
        <w:rPr>
          <w:b/>
          <w:bCs/>
        </w:rPr>
        <w:t xml:space="preserve">Do:</w:t>
      </w:r>
      <w:r>
        <w:t xml:space="preserve"> </w:t>
      </w:r>
      <w:r>
        <w:t xml:space="preserve">post the correction to the thread that carried the escalation.</w:t>
      </w:r>
    </w:p>
    <w:p>
      <w:pPr>
        <w:pStyle w:val="Compact"/>
        <w:numPr>
          <w:ilvl w:val="0"/>
          <w:numId w:val="1109"/>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09"/>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10"/>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10"/>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10"/>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10"/>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10"/>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10"/>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11"/>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11"/>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11"/>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11"/>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53">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1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1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1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1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1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1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1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1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24">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54">
        <w:r>
          <w:rPr>
            <w:rStyle w:val="VerbatimChar"/>
          </w:rPr>
          <w:t xml:space="preserve">issue-first</w:t>
        </w:r>
      </w:hyperlink>
      <w:r>
        <w:t xml:space="preserve">.</w:t>
      </w:r>
    </w:p>
    <w:p>
      <w:pPr>
        <w:pStyle w:val="Compact"/>
        <w:numPr>
          <w:ilvl w:val="0"/>
          <w:numId w:val="1114"/>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14"/>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14"/>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14"/>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55">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56">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bookmarkEnd w:id="57"/>
    <w:bookmarkStart w:id="59"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15"/>
        </w:numPr>
      </w:pPr>
      <w:r>
        <w:t xml:space="preserve">citations, DOIs, and URLs that may have been invented</w:t>
      </w:r>
    </w:p>
    <w:p>
      <w:pPr>
        <w:pStyle w:val="Compact"/>
        <w:numPr>
          <w:ilvl w:val="0"/>
          <w:numId w:val="1115"/>
        </w:numPr>
      </w:pPr>
      <w:r>
        <w:t xml:space="preserve">functions, flags, and APIs that may not exist on the version you actually run</w:t>
      </w:r>
    </w:p>
    <w:p>
      <w:pPr>
        <w:pStyle w:val="Compact"/>
        <w:numPr>
          <w:ilvl w:val="0"/>
          <w:numId w:val="111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58">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59"/>
    <w:bookmarkStart w:id="61" w:name="references"/>
    <w:p>
      <w:pPr>
        <w:pStyle w:val="Heading1"/>
      </w:pPr>
      <w:r>
        <w:t xml:space="preserve">References</w:t>
      </w:r>
    </w:p>
    <w:bookmarkStart w:id="60" w:name="refs"/>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_rels/footnotes.xml.rels><?xml version="1.0" encoding="UTF-8"?><Relationships xmlns="http://schemas.openxmlformats.org/package/2006/relationships"><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2026-08-30T05:14:32Z</dcterms:created>
  <dcterms:modified xsi:type="dcterms:W3CDTF">2026-08-30T05:14:32Z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2026-08-29 22:10:28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