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41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9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rem-nhefs-target-effect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(NHEFS: Setting and Target Effect). </w:t>
            </w:r>
            <w:r>
              <w:rPr>
                <w:b/>
                <w:bCs/>
              </w:rPr>
              <w:t xml:space="preserve">Setting</w:t>
            </w:r>
            <w:r>
              <w:t xml:space="preserve"> </w:t>
            </w:r>
            <w:r>
              <w:t xml:space="preserve">(same as Chapter 12):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NHEFS: 1629 cigarette smokers aged 25-74 with a baseline visit and a follow-up visit about 10 years later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1566 had weight measured at follow-up, i.e., are uncensored (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smoking cessation (1: yes, 0: no);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weight gain (kg)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Causal effect of interest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difference in mean weight gain had everybody been treated and uncensored versus untreated and uncensored.</w:t>
            </w:r>
          </w:p>
          <w:bookmarkEnd w:id="10"/>
        </w:tc>
      </w:tr>
    </w:tbl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3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tandardization-ch13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thm-standardized-mean-identifies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identifies the counterfactual mean)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discrete, and 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conditional exchangeability for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the standardized mean of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(Technical Point 2.3 of the book,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given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Positivity is needed in the second line so that the conditional mean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same argument, with sums replaced by integrals, covers continuous components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So, under these conditions, any estimator that converges to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also converges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likewise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3"/>
    <w:bookmarkStart w:id="18" w:name="supplement-standardizing-to-the-treated"/>
    <w:p>
      <w:pPr>
        <w:pStyle w:val="Heading3"/>
      </w:pPr>
      <w:r>
        <w:t xml:space="preserve">1.2 Supplement: Standardizing to the Treated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standardize-to-tre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(Standardizing to the treated). </w:t>
            </w:r>
            <w:r>
              <w:t xml:space="preserve">The average causal effect</w:t>
            </w:r>
            <w:r>
              <w:t xml:space="preserve"> </w:t>
            </w:r>
            <w:r>
              <w:rPr>
                <w:b/>
                <w:bCs/>
              </w:rPr>
              <w:t xml:space="preserve">in the treated</w:t>
            </w:r>
            <w:r>
              <w:t xml:space="preserve"> </w:t>
            </w:r>
            <w:r>
              <w:t xml:space="preserve">can also be estimated by standardization (book’s Technical Point 4.1):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8"/>
    <w:bookmarkEnd w:id="19"/>
    <w:bookmarkStart w:id="27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rem-why-outcome-mode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(Why we model the outcome). </w:t>
            </w:r>
            <w:r>
              <w:rPr>
                <w:b/>
                <w:bCs/>
              </w:rPr>
              <w:t xml:space="preserve">Problem</w:t>
            </w:r>
            <w:r>
              <w:t xml:space="preserve">: nonparametric estimation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(as in Section 2.3) is out of the question.</w:t>
            </w:r>
            <w:r>
              <w:t xml:space="preserve"> </w:t>
            </w:r>
            <w:r>
              <w:t xml:space="preserve">Only 403 uncensored treated individuals are spread across possibly millions of strata of the 9 confounders.</w:t>
            </w:r>
            <w:r>
              <w:t xml:space="preserve"> </w:t>
            </w:r>
            <w:r>
              <w:t xml:space="preserve">Same for the untreated.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Solution</w:t>
            </w:r>
            <w:r>
              <w:t xml:space="preserve">: fit a parametric model for the mean outcome.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21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26" w:name="X6d9a1620ee3fc3b1e14bd8b70fd354ed7e6606a"/>
    <w:p>
      <w:pPr>
        <w:pStyle w:val="Heading3"/>
      </w:pPr>
      <w:r>
        <w:t xml:space="preserve">2.1 Supplement: Other Outcome and Treatment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rem-other-outcome-type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(Other outcome and treatment types). </w:t>
            </w:r>
            <w:r>
              <w:t xml:space="preserve">The same approach applies with other outcome models: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Dichotomous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: fit,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standardized means are then standardized risks, from which a risk difference, risk ratio, or odds ratio can be computed.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Nondichotomous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: standardize the predicted means at each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of interest.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 Odds Ratios Are Not Marginal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(on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 odds ratio from a logistic outcome model is generally not equal to the marginal causal odds ratio, because the odds ratio is not collapsible;</w:t>
            </w:r>
            <w:r>
              <w:t xml:space="preserve"> </w:t>
            </w:r>
            <w:r>
              <w:t xml:space="preserve">standardization averages predicted</w:t>
            </w:r>
            <w:r>
              <w:t xml:space="preserve"> </w:t>
            </w:r>
            <w:r>
              <w:rPr>
                <w:i/>
                <w:iCs/>
              </w:rPr>
              <w:t xml:space="preserve">risks</w:t>
            </w:r>
            <w:r>
              <w:t xml:space="preserve"> </w:t>
            </w:r>
            <w:r>
              <w:t xml:space="preserve">first and then forms the effect measure.</w:t>
            </w:r>
          </w:p>
          <w:p/>
        </w:tc>
      </w:tr>
    </w:tbl>
    <w:bookmarkEnd w:id="26"/>
    <w:bookmarkEnd w:id="27"/>
    <w:bookmarkStart w:id="39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prp-standardized-mean-iterated"/>
          <w:p>
            <w:pPr>
              <w:pStyle w:val="BodyText"/>
            </w:pPr>
            <w:r>
              <w:rPr>
                <w:b/>
                <w:bCs/>
              </w:rPr>
              <w:t xml:space="preserve">Proposition 1 (The standardized mean is an iterated expectation)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outer expectation is over the marginal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we have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the definition of expectation.</w:t>
            </w:r>
          </w:p>
          <w:p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prp-standardized-mean-iterated">
        <w:r>
          <w:rPr>
            <w:rStyle w:val="Hyperlink"/>
          </w:rPr>
          <w:t xml:space="preserve">Proposition 1</w:t>
        </w:r>
      </w:hyperlink>
      <w:r>
        <w:t xml:space="preserve">, the standardized mean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30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9"/>
        </w:tc>
      </w:tr>
    </w:tbl>
    <w:bookmarkEnd w:id="30"/>
    <w:bookmarkStart w:id="32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1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32"/>
    <w:bookmarkStart w:id="38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Different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intervals in the book belong to different methods.</w:t>
            </w:r>
            <w:r>
              <w:t xml:space="preserve"> </w:t>
            </w:r>
            <w:r>
              <w:t xml:space="preserve">The bootstrap interval (2.6, 4.5) is the parametric g-formula’s own</w:t>
            </w:r>
            <w:r>
              <w:t xml:space="preserve"> </w:t>
            </w:r>
            <w:r>
              <w:t xml:space="preserve">(Hernán and Robins 2020, chap. 13, p. 179)</w:t>
            </w:r>
            <w:r>
              <w:t xml:space="preserve">.</w:t>
            </w:r>
            <w:r>
              <w:t xml:space="preserve"> </w:t>
            </w:r>
            <w:r>
              <w:t xml:space="preserve">The interval (2.5, 4.5) is the one for the IP weighted estimate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</w:t>
            </w:r>
            <w:r>
              <w:t xml:space="preserve"> </w:t>
            </w:r>
            <w:r>
              <w:t xml:space="preserve">(Hernán and Robins 2020, chap. 12, p. 174)</w:t>
            </w:r>
            <w:r>
              <w:t xml:space="preserve">.</w:t>
            </w:r>
            <w:r>
              <w:t xml:space="preserve"> </w:t>
            </w:r>
            <w:r>
              <w:t xml:space="preserve">The summary in Section 13.5 states one interval, (2.5, 4.5), for both methods together</w:t>
            </w:r>
            <w:r>
              <w:t xml:space="preserve"> </w:t>
            </w:r>
            <w:r>
              <w:t xml:space="preserve">(Hernán and Robins 2020, chap. 13, p. 181)</w:t>
            </w:r>
            <w:r>
              <w:t xml:space="preserve">;</w:t>
            </w:r>
            <w:r>
              <w:t xml:space="preserve"> </w:t>
            </w:r>
            <w:r>
              <w:t xml:space="preserve">that interval matches the IP weighted one, and the g-formula’s own is (2.6, 4.5).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38"/>
    <w:bookmarkEnd w:id="39"/>
    <w:bookmarkStart w:id="63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ipw-vs-standardiz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(IP weighting and standardization model different things).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Without models, the IP weighted and standardized means are</w:t>
            </w:r>
            <w:r>
              <w:t xml:space="preserve"> </w:t>
            </w:r>
            <w:r>
              <w:rPr>
                <w:b/>
                <w:bCs/>
              </w:rPr>
              <w:t xml:space="preserve">exactly equal</w:t>
            </w:r>
            <w:r>
              <w:t xml:space="preserve"> </w:t>
            </w:r>
            <w:r>
              <w:t xml:space="preserve">(Technical Point 2.3).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 models, they generally</w:t>
            </w:r>
            <w:r>
              <w:t xml:space="preserve"> </w:t>
            </w:r>
            <w:r>
              <w:rPr>
                <w:b/>
                <w:bCs/>
              </w:rPr>
              <w:t xml:space="preserve">differ</w:t>
            </w:r>
            <w:r>
              <w:t xml:space="preserve">, because they model different things: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IP weighting: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(in Chapter 12, logistic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Standardization: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(here, a linear model)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Some misspecification is inescapable, and it will usually bias the two estimates differently.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Compare the Two Estimates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large</w:t>
            </w:r>
            <w:r>
              <w:t xml:space="preserve"> </w:t>
            </w:r>
            <w:r>
              <w:t xml:space="preserve">difference between the two estimates signals serious misspecification in at least one of them.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small</w:t>
            </w:r>
            <w:r>
              <w:t xml:space="preserve"> </w:t>
            </w:r>
            <w:r>
              <w:t xml:space="preserve">difference does not guarantee correct models, but it is reassuring: badly misspecified models are unlikely to produce biases of similar magnitude and direction.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 NHEFS both estimates round to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Neither method modeled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IP weighting does not need their distribution, and standardization used their empirical distribution.</w:t>
            </w:r>
          </w:p>
          <w:p/>
        </w:tc>
      </w:tr>
    </w:tbl>
    <w:bookmarkStart w:id="48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rem-g-formula-what-to-model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(What the parametric g-formula needs to model).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For an average causal effect we only need the conditional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 </w:t>
            </w:r>
            <w:r>
              <w:t xml:space="preserve">outcome;</w:t>
            </w:r>
            <w:r>
              <w:t xml:space="preserve"> </w:t>
            </w:r>
            <w:r>
              <w:t xml:space="preserve">for a standardized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t xml:space="preserve"> </w:t>
            </w:r>
            <w:r>
              <w:t xml:space="preserve">(pdf) we would need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Without time-varying confounders, the parametric g-formula does not require modeling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Terminology: G-Formula, G-Computation, G-Estimation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Robins (1986)</w:t>
            </w:r>
            <w:r>
              <w:t xml:space="preserve"> </w:t>
            </w:r>
            <w:r>
              <w:t xml:space="preserve">generalized standardization to time-varying treatments and confounders under the name</w:t>
            </w:r>
            <w:r>
              <w:t xml:space="preserve"> </w:t>
            </w:r>
            <w:r>
              <w:rPr>
                <w:i/>
                <w:iCs/>
              </w:rPr>
              <w:t xml:space="preserve">g-computation algorithm formula</w:t>
            </w:r>
            <w:r>
              <w:t xml:space="preserve">.</w:t>
            </w:r>
            <w:r>
              <w:t xml:space="preserve"> </w:t>
            </w:r>
            <w:r>
              <w:t xml:space="preserve">Some authors shorten this to</w:t>
            </w:r>
            <w:r>
              <w:t xml:space="preserve"> </w:t>
            </w:r>
            <w:r>
              <w:t xml:space="preserve">“g-formula”</w:t>
            </w:r>
            <w:r>
              <w:t xml:space="preserve">, others to</w:t>
            </w:r>
            <w:r>
              <w:t xml:space="preserve"> </w:t>
            </w:r>
            <w:r>
              <w:t xml:space="preserve">“g-computation”</w:t>
            </w:r>
            <w:r>
              <w:t xml:space="preserve">.</w:t>
            </w:r>
            <w:r>
              <w:t xml:space="preserve"> </w:t>
            </w:r>
            <w:r>
              <w:t xml:space="preserve">The book uses only</w:t>
            </w:r>
            <w:r>
              <w:t xml:space="preserve"> </w:t>
            </w:r>
            <w:r>
              <w:t xml:space="preserve">“g-formula”</w:t>
            </w:r>
            <w:r>
              <w:t xml:space="preserve">, because</w:t>
            </w:r>
            <w:r>
              <w:t xml:space="preserve"> </w:t>
            </w:r>
            <w:r>
              <w:t xml:space="preserve">“g-computation”</w:t>
            </w:r>
            <w:r>
              <w:t xml:space="preserve"> </w:t>
            </w:r>
            <w:r>
              <w:t xml:space="preserve">is often confused with g-estimation, a different method (Chapter 14).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Part III defines the g-formula for time-varying treatments.</w:t>
            </w:r>
          </w:p>
          <w:p/>
        </w:tc>
      </w:tr>
    </w:tbl>
    <w:bookmarkEnd w:id="48"/>
    <w:bookmarkStart w:id="57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oubly-robust"/>
          <w:p>
            <w:pPr>
              <w:pStyle w:val="BodyText"/>
            </w:pPr>
            <w:r>
              <w:rPr>
                <w:b/>
                <w:bCs/>
              </w:rPr>
              <w:t xml:space="preserve">Definition 4 (Doubly robust estimator)</w:t>
            </w:r>
            <w:r>
              <w:t xml:space="preserve"> </w:t>
            </w:r>
            <w:r>
              <w:t xml:space="preserve">An estimator of a counterfactual mean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that combines a treatment model and an outcome model is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if,</w:t>
            </w:r>
            <w:r>
              <w:t xml:space="preserve"> </w:t>
            </w:r>
            <w:r>
              <w:t xml:space="preserve">under the identifying conditions (conditional exchangeability and positivity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consistency),</w:t>
            </w:r>
            <w:r>
              <w:t xml:space="preserve"> </w:t>
            </w:r>
            <w:r>
              <w:t xml:space="preserve">it is consistent for that counterfactual mean when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model is correctly specified, without our knowing which.</w:t>
            </w:r>
            <w:r>
              <w:t xml:space="preserve"> </w:t>
            </w:r>
            <w:r>
              <w:t xml:space="preserve">(With censoring, replace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throughout.)</w:t>
            </w:r>
          </w:p>
          <w:bookmarkEnd w:id="49"/>
        </w:tc>
      </w:tr>
    </w:tbl>
    <w:p>
      <w:pPr>
        <w:pStyle w:val="BodyText"/>
      </w:pPr>
      <w:r>
        <w:t xml:space="preserve">An estimator of a causal contrast,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, built from doubly robust estimators 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 of each counterfactual mean is then consistent for that contrast,</w:t>
      </w:r>
      <w:r>
        <w:t xml:space="preserve"> </w:t>
      </w:r>
      <w:r>
        <w:t xml:space="preserve">provided the identifying conditions hold for every treatment level in the contrast (here both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and, for each counterfactual mean, at least one of its two models is correctly specified.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Both Methods, and Doubly Robust Ones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both IP weighting and the parametric g-formula can be used,</w:t>
            </w:r>
            <w:r>
              <w:t xml:space="preserve"> </w:t>
            </w:r>
            <w:r>
              <w:rPr>
                <w:b/>
                <w:bCs/>
              </w:rPr>
              <w:t xml:space="preserve">use both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Whenever possible, use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estimators (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methods can also target a subset of the population, e.g., estimating standardized means separately in men and women to study effect modification by sex.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5 (Augmented IP weighted (AIPW) 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outcome regression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propensity score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mean outcome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(the outcome model),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probability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(the treatment model).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AIPW estimator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sSub>
                  <m:e>
                    <m:r>
                      <m:t>​</m:t>
                    </m:r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 of the AIPW estimator (</w:t>
      </w:r>
      <w:hyperlink w:anchor="def-aipw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57"/>
    <w:bookmarkStart w:id="62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thm-aipw-doubly-robust"/>
          <w:p>
            <w:pPr>
              <w:pStyle w:val="BodyText"/>
            </w:pPr>
            <w:r>
              <w:rPr>
                <w:b/>
                <w:bCs/>
              </w:rPr>
              <w:t xml:space="preserve">Theorem 2 (Double robustness of the AIPW functional)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let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be 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conditional exchangeability: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any functions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ϵ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zero 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 condition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|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 </m:t>
                        </m:r>
                      </m:e>
                      <m:e>
                        <m:r>
                          <m:t> 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identify the counterfactual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(exchangeability; positivity, so the conditioning is defined)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of the three terms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integrable: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assumption;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its absolute value is at most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t>ϵ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the steps of the identification display hold conditionally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giving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whose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finite.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(identification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(linearity; each term integrable)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 and the first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0.</w:t>
            </w:r>
            <w:r>
              <w:t xml:space="preserve"> </w:t>
            </w:r>
            <w:r>
              <w:t xml:space="preserve">Either way the expectation is zero.</w:t>
            </w:r>
          </w:p>
          <w:p/>
        </w:tc>
      </w:tr>
    </w:tbl>
    <w:p>
      <w:pPr>
        <w:pStyle w:val="BodyText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difference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This difference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rem-aipw-consistency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(From the functional to the estimator). </w:t>
            </w:r>
            <w:r>
              <w:t xml:space="preserve">Suppose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predictions from parametric models whose parameter estimates converge in probability,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settle down to fixed functions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bounded away from 0.</w:t>
            </w:r>
            <w:r>
              <w:t xml:space="preserve"> </w:t>
            </w:r>
            <w:r>
              <w:t xml:space="preserve">Then, under the usual regularity conditions, the AIPW estimator of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converges in probability to the functional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 evaluated at these limits.</w:t>
            </w:r>
            <w:r>
              <w:t xml:space="preserve"> </w:t>
            </w:r>
            <w:r>
              <w:t xml:space="preserve">A correctly specified outcome model gives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and a correctly specified treatment model gives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either one makes the difference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vanish.</w:t>
            </w:r>
            <w:r>
              <w:t xml:space="preserve"> </w:t>
            </w:r>
            <w:r>
              <w:t xml:space="preserve">So the AIPW estimator is consistent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whenever at least one of the two models is correct:</w:t>
            </w:r>
            <w:r>
              <w:t xml:space="preserve"> </w:t>
            </w:r>
            <w:r>
              <w:t xml:space="preserve">it is doubly robust in the sense of</w:t>
            </w:r>
            <w:r>
              <w:t xml:space="preserve"> 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62"/>
    <w:bookmarkEnd w:id="63"/>
    <w:bookmarkStart w:id="70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exm-nhefs-first-estimates"/>
          <w:p>
            <w:pPr>
              <w:pStyle w:val="BodyText"/>
            </w:pPr>
            <w:r>
              <w:rPr>
                <w:b/>
                <w:bCs/>
              </w:rPr>
              <w:t xml:space="preserve">Example 4 (NHEFS: First Estimates from Real Data)</w:t>
            </w:r>
            <w:r>
              <w:t xml:space="preserve"> </w:t>
            </w:r>
            <w:r>
              <w:t xml:space="preserve">Our first estimates from real data, by IP weighting and by the parametric g-formula: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mean weight gain: 5.2 kg if everybody had quit, 1.7 kg if nobody had quit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effect: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 </w:t>
            </w:r>
            <w:r>
              <w:t xml:space="preserve">by both methods (95% CI: 2.5, 4.5 for IP weighting;</w:t>
            </w:r>
            <w:r>
              <w:t xml:space="preserve"> </w:t>
            </w:r>
            <w:r>
              <w:t xml:space="preserve">2.6, 4.5 for the g-formula)</w:t>
            </w:r>
          </w:p>
          <w:bookmarkEnd w:id="64"/>
        </w:tc>
      </w:tr>
    </w:tbl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66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conditions-causal-interpret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(Conditions for a causal interpretation). 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Identifiability</w:t>
            </w:r>
            <w:r>
              <w:t xml:space="preserve">: exchangeability, positivity, and consistency, so that the observational study emulates the target trial.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measurement error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(Chapter 9).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model misspecification</w:t>
            </w:r>
            <w:r>
              <w:t xml:space="preserve"> </w:t>
            </w:r>
            <w:r>
              <w:t xml:space="preserve">(Chapter 11).</w:t>
            </w:r>
          </w:p>
          <w:bookmarkEnd w:id="65"/>
        </w:tc>
      </w:tr>
    </w:tbl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66"/>
    <w:bookmarkStart w:id="69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Conditions Are Not Testable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None of these conditions is empirically testable;</w:t>
            </w:r>
            <w:r>
              <w:t xml:space="preserve"> </w:t>
            </w:r>
            <w:r>
              <w:t xml:space="preserve">we assume they hold approximately, based on</w:t>
            </w:r>
            <w:r>
              <w:t xml:space="preserve"> </w:t>
            </w:r>
            <w:r>
              <w:rPr>
                <w:b/>
                <w:bCs/>
              </w:rPr>
              <w:t xml:space="preserve">expert knowledge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Expert knowledge is incomplete, so analyses should explore</w:t>
            </w:r>
            <w:r>
              <w:t xml:space="preserve"> </w:t>
            </w:r>
            <w:r>
              <w:rPr>
                <w:b/>
                <w:bCs/>
              </w:rPr>
              <w:t xml:space="preserve">sensitivity</w:t>
            </w:r>
            <w:r>
              <w:t xml:space="preserve"> </w:t>
            </w:r>
            <w:r>
              <w:t xml:space="preserve">to the assumptions.</w:t>
            </w:r>
          </w:p>
          <w:p/>
        </w:tc>
      </w:tr>
    </w:tbl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69"/>
    <w:bookmarkEnd w:id="70"/>
    <w:bookmarkStart w:id="76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  <m:r>
              <m:t>​</m:t>
            </m:r>
          </m:e>
        </m:d>
        <m:r>
          <m:t>​</m:t>
        </m:r>
      </m:oMath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Doubly robust estimators</w:t>
      </w:r>
      <w:r>
        <w:t xml:space="preserve"> </w:t>
      </w:r>
      <w:r>
        <w:t xml:space="preserve">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): consistent if either the treatment or the outcome model is correct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5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5"/>
        </w:numPr>
      </w:pPr>
      <w:r>
        <w:t xml:space="preserve">Chapter 18 returns to doubly robust estimation with machine learning.</w:t>
      </w:r>
    </w:p>
    <w:bookmarkStart w:id="75" w:name="refs"/>
    <w:bookmarkStart w:id="71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71"/>
    <w:bookmarkStart w:id="7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3"/>
    <w:bookmarkStart w:id="74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41" Target="media/rId41.png" /><Relationship Type="http://schemas.openxmlformats.org/officeDocument/2006/relationships/image" Id="rId23" Target="media/rId23.png" /><Relationship Type="http://schemas.openxmlformats.org/officeDocument/2006/relationships/hyperlink" Id="rId7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2026-10-09T13:47:23Z</dcterms:created>
  <dcterms:modified xsi:type="dcterms:W3CDTF">2026-10-09T13:47:23Z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