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previous chapters we have been concerned with causal questions about treatment effects on outcomes occurring at a particular time point.</w:t>
      </w:r>
      <w:r>
        <w:t xml:space="preserve"> </w:t>
      </w:r>
      <w:r>
        <w:t xml:space="preserve">For example, we estimated the effect of smoking cessation on weight gain measured in the year 1982.</w:t>
      </w:r>
      <w:r>
        <w:t xml:space="preserve"> </w:t>
      </w:r>
      <w:r>
        <w:t xml:space="preserve">Many causal questions, however, are concerned with treatment effects on the</w:t>
      </w:r>
      <w:r>
        <w:t xml:space="preserve"> </w:t>
      </w:r>
      <w:r>
        <w:rPr>
          <w:b/>
          <w:bCs/>
        </w:rPr>
        <w:t xml:space="preserve">time until</w:t>
      </w:r>
      <w:r>
        <w:t xml:space="preserve"> </w:t>
      </w:r>
      <w:r>
        <w:t xml:space="preserve">the occurrence of an event of interest.</w:t>
      </w:r>
      <w:r>
        <w:t xml:space="preserve"> </w:t>
      </w:r>
      <w:r>
        <w:t xml:space="preserve">For example, we may want to estimate the causal effect of smoking cessation on the time until death, whenever death occurs.</w:t>
      </w:r>
      <w:r>
        <w:t xml:space="preserve"> </w:t>
      </w:r>
      <w:r>
        <w:t xml:space="preserve">This is an example of a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The use of the word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does not imply that the event of interest must be death.</w:t>
      </w:r>
      <w:r>
        <w:t xml:space="preserve"> </w:t>
      </w:r>
      <w:r>
        <w:t xml:space="preserve">The term</w:t>
      </w:r>
      <w:r>
        <w:t xml:space="preserve"> </w:t>
      </w:r>
      <w:r>
        <w:t xml:space="preserve">“survival analysis”</w:t>
      </w:r>
      <w:r>
        <w:t xml:space="preserve">, or the equivalent term</w:t>
      </w:r>
      <w:r>
        <w:t xml:space="preserve"> </w:t>
      </w:r>
      <w:r>
        <w:t xml:space="preserve">“failure time analysis”</w:t>
      </w:r>
      <w:r>
        <w:t xml:space="preserve">, is applied to any analyses about time to an event,</w:t>
      </w:r>
      <w:r>
        <w:t xml:space="preserve"> </w:t>
      </w:r>
      <w:r>
        <w:t xml:space="preserve">where the event may be death, marriage, incarceration, cancer, flu infection, etc.</w:t>
      </w:r>
      <w:r>
        <w:t xml:space="preserve"> </w:t>
      </w:r>
      <w:r>
        <w:t xml:space="preserve">Survival analyses require some special considerations and techniques</w:t>
      </w:r>
      <w:r>
        <w:t xml:space="preserve"> </w:t>
      </w:r>
      <w:r>
        <w:t xml:space="preserve">because the failure time of many individuals may occur after the study has ended and is therefore unknown.</w:t>
      </w:r>
      <w:r>
        <w:t xml:space="preserve"> </w:t>
      </w:r>
      <w:r>
        <w:t xml:space="preserve">This chapter outlines basic techniques for survival analysis in the simplified setting of time-fixed treatments.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The estimation of hazards is often a useful intermediate step for the estimation of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4" w:name="hazards-and-risks"/>
    <w:p>
      <w:pPr>
        <w:pStyle w:val="Heading2"/>
      </w:pPr>
      <w:r>
        <w:t xml:space="preserve">1 17.1 Hazards and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want to estimate the average causal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yes, 0: no) on the time to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time measured from the start of follow-up.</w:t>
      </w:r>
      <w:r>
        <w:t xml:space="preserve"> </w:t>
      </w:r>
      <w:r>
        <w:t xml:space="preserve">This is an example of a survival analysis:</w:t>
      </w:r>
      <w:r>
        <w:t xml:space="preserve"> </w:t>
      </w:r>
      <w:r>
        <w:t xml:space="preserve">the outcome is time to an event of interest that can occur at any time after the start of follow-up.</w:t>
      </w:r>
    </w:p>
    <w:p>
      <w:pPr>
        <w:pStyle w:val="BodyText"/>
      </w:pPr>
      <w:r>
        <w:t xml:space="preserve">In most follow-up studies, the event of interest is not observed to happen for all, or even the majority of, individuals in the study.</w:t>
      </w:r>
      <w:r>
        <w:t xml:space="preserve"> </w:t>
      </w:r>
      <w:r>
        <w:t xml:space="preserve">This is so because most follow-up studies have a date after which there is no information on any individuals: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Individuals who do not develop the event of interest before the administrative end of follow-up have their survival time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We conduct the above survival analysis among the 1629 cigarette smokers from the NHEFS</w:t>
      </w:r>
      <w:r>
        <w:t xml:space="preserve"> </w:t>
      </w:r>
      <w:r>
        <w:t xml:space="preserve">who were aged 25–74 years at baseline and who were alive through 1982.</w:t>
      </w:r>
      <w:r>
        <w:t xml:space="preserve"> </w:t>
      </w:r>
      <w:r>
        <w:t xml:space="preserve">For all individuals, the start of follow-up is January 1, 1983 and the administrative end of follow-up is December 31, 1992.</w:t>
      </w:r>
      <w:r>
        <w:t xml:space="preserve"> </w:t>
      </w:r>
      <w:r>
        <w:t xml:space="preserve">The administrative censoring time is the same—120 months—for all individuals.</w:t>
      </w:r>
      <w:r>
        <w:t xml:space="preserve"> </w:t>
      </w:r>
      <w:r>
        <w:t xml:space="preserve">Of the 1629 individuals, only 318 died before the end of 1992,</w:t>
      </w:r>
      <w:r>
        <w:t xml:space="preserve"> </w:t>
      </w:r>
      <w:r>
        <w:t xml:space="preserve">so the survival time of the remaining 1311 individuals is administratively censored.</w:t>
      </w:r>
    </w:p>
    <w:p>
      <w:pPr>
        <w:pStyle w:val="BodyText"/>
      </w:pPr>
      <w:r>
        <w:t xml:space="preserve">Administrative censoring is a problem intrinsic to survival analyses.</w:t>
      </w:r>
      <w:r>
        <w:t xml:space="preserve"> </w:t>
      </w:r>
      <w:r>
        <w:t xml:space="preserve">In a study with staggered entry (i.e., with a variable start of follow-up date)</w:t>
      </w:r>
      <w:r>
        <w:t xml:space="preserve"> </w:t>
      </w:r>
      <w:r>
        <w:t xml:space="preserve">different individuals will have different administrative censoring times,</w:t>
      </w:r>
      <w:r>
        <w:t xml:space="preserve"> </w:t>
      </w:r>
      <w:r>
        <w:t xml:space="preserve">even when the administrative end of follow-up date is common to all.</w:t>
      </w:r>
    </w:p>
    <w:p>
      <w:pPr>
        <w:pStyle w:val="BodyText"/>
      </w:pPr>
      <w:r>
        <w:t xml:space="preserve">In addition to administrative censoring, survival analyses may also need to handle non-administrative types of censoring,</w:t>
      </w:r>
      <w:r>
        <w:t xml:space="preserve"> </w:t>
      </w:r>
      <w:r>
        <w:t xml:space="preserve">such as loss to follow-up and competing events (see Fine Point 17.1).</w:t>
      </w:r>
      <w:r>
        <w:t xml:space="preserve"> </w:t>
      </w:r>
      <w:r>
        <w:t xml:space="preserve">In previous chapters we discussed how to adjust for the selection bias introduced by non-administrative censoring</w:t>
      </w:r>
      <w:r>
        <w:t xml:space="preserve"> </w:t>
      </w:r>
      <w:r>
        <w:t xml:space="preserve">via standardization or IP weighting.</w:t>
      </w:r>
      <w:r>
        <w:t xml:space="preserve"> </w:t>
      </w:r>
      <w:r>
        <w:t xml:space="preserve">The same approaches can be applied to survival analyses.</w:t>
      </w:r>
      <w:r>
        <w:t xml:space="preserve"> </w:t>
      </w:r>
      <w:r>
        <w:t xml:space="preserve">In this chapter, we focus on administrative censoring and defer non-administrative censoring to Part III.</w:t>
      </w:r>
    </w:p>
    <w:bookmarkStart w:id="9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or simply the survival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 proportion of individuals who survived through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If we calculate the survivals at each month until the administrative end of follow-up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and plot them along a horizontal time axis, we obtain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.</w:t>
      </w:r>
      <w:r>
        <w:t xml:space="preserve"> </w:t>
      </w:r>
      <w:r>
        <w:t xml:space="preserve">The survival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 decreases monotonically with subsequent values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we can define 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one minus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cumulative incidence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increases monotonically during the follow-up.</w:t>
      </w:r>
    </w:p>
    <w:p>
      <w:pPr>
        <w:pStyle w:val="BodyText"/>
      </w:pPr>
      <w:r>
        <w:t xml:space="preserve">At any time</w:t>
      </w:r>
      <w:r>
        <w:t xml:space="preserve"> </w:t>
      </w:r>
      <m:oMath>
        <m:r>
          <m:t>k</m:t>
        </m:r>
      </m:oMath>
      <w:r>
        <w:t xml:space="preserve">, we can also calculate the proportion of individuals who develop the event</w:t>
      </w:r>
      <w:r>
        <w:t xml:space="preserve"> </w:t>
      </w:r>
      <w:r>
        <w:t xml:space="preserve">among those who had not developed it before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Technically, this is the discrete-time hazard,</w:t>
      </w:r>
      <w:r>
        <w:t xml:space="preserve"> </w:t>
      </w:r>
      <w:r>
        <w:t xml:space="preserve">i.e., the hazard in a study in which time is measured in discrete intervals,</w:t>
      </w:r>
      <w:r>
        <w:t xml:space="preserve"> </w:t>
      </w:r>
      <w:r>
        <w:t xml:space="preserve">as opposed to measured continuously.</w:t>
      </w:r>
      <w:r>
        <w:t xml:space="preserve"> </w:t>
      </w:r>
      <w:r>
        <w:t xml:space="preserve">Because in real-world studies time is indeed measured in discrete intervals (years, months, weeks, days…)</w:t>
      </w:r>
      <w:r>
        <w:t xml:space="preserve"> </w:t>
      </w:r>
      <w:r>
        <w:t xml:space="preserve">rather than in a truly continuous fashion,</w:t>
      </w:r>
      <w:r>
        <w:t xml:space="preserve"> </w:t>
      </w:r>
      <w:r>
        <w:t xml:space="preserve">we will refer to the discrete-time hazard as, simply, the hazard.</w:t>
      </w:r>
    </w:p>
    <w:p>
      <w:pPr>
        <w:pStyle w:val="BodyText"/>
      </w:pPr>
      <w:r>
        <w:t xml:space="preserve">In our example, if we assume (provisionally—until Section 17.4—that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the unadjusted survival curves at 120 months were 76.2% among quitters and 82.0% among non-quitters.</w:t>
      </w:r>
      <w:r>
        <w:t xml:space="preserve"> </w:t>
      </w:r>
      <w:r>
        <w:t xml:space="preserve">Equivalently, the 120-month risk was 23.8% among quitters and 18.0% among non-quitters.</w:t>
      </w:r>
      <w:r>
        <w:t xml:space="preserve"> </w:t>
      </w:r>
      <w:r>
        <w:t xml:space="preserve">These figures are unadjusted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The hazard at 120 months was 0% among quitters (because the last death happened at 113 months in this group)</w:t>
      </w:r>
      <w:r>
        <w:t xml:space="preserve"> </w:t>
      </w:r>
      <w:r>
        <w:t xml:space="preserve">and 1/986 = 0.10% among non-quitters,</w:t>
      </w:r>
      <w:r>
        <w:t xml:space="preserve"> </w:t>
      </w:r>
      <w:r>
        <w:t xml:space="preserve">and the hazard curves between 0 and 120 months had roughly the shape of a letter M.</w:t>
      </w:r>
    </w:p>
    <w:bookmarkEnd w:id="9"/>
    <w:bookmarkStart w:id="13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are different measures: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risk</w:t>
      </w:r>
      <w:r>
        <w:t xml:space="preserve">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hazard</w:t>
      </w:r>
      <w:r>
        <w:t xml:space="preserve">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w:r>
        <w:t xml:space="preserve">and its numerator includes only recent events.</w:t>
      </w:r>
      <w:r>
        <w:t xml:space="preserve"> </w:t>
      </w:r>
      <w:r>
        <w:t xml:space="preserve">The hazard may increase or decrease over time.</w:t>
      </w:r>
    </w:p>
    <w:p>
      <w:pPr>
        <w:pStyle w:val="FirstParagraph"/>
      </w:pPr>
      <w:r>
        <w:t xml:space="preserve">A frequent approach to quantify the treatment effect in survival analyses</w:t>
      </w:r>
      <w:r>
        <w:t xml:space="preserve"> </w:t>
      </w:r>
      <w:r>
        <w:t xml:space="preserve">is to estimate the ratio of the hazards in the treated and the untreated, known as the hazard ratio.</w:t>
      </w:r>
      <w:r>
        <w:t xml:space="preserve"> </w:t>
      </w:r>
      <w:r>
        <w:t xml:space="preserve">However, the hazard ratio is problematic for the reasons described in Fine Point 17.2.</w:t>
      </w:r>
      <w:r>
        <w:t xml:space="preserve"> </w:t>
      </w:r>
      <w:r>
        <w:t xml:space="preserve">Therefore, the survival analyses in this book privilege survival/risk over hazard.</w:t>
      </w:r>
      <w:r>
        <w:t xml:space="preserve"> </w:t>
      </w:r>
      <w:r>
        <w:t xml:space="preserve">However, that does not mean that we should completely ignore hazards.</w:t>
      </w:r>
      <w:r>
        <w:t xml:space="preserve"> </w:t>
      </w:r>
      <w:r>
        <w:t xml:space="preserve">The estimation of hazards is often a useful intermediate step for the estimation of survivals and risks.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  <w:r>
              <w:t xml:space="preserve"> </w:t>
            </w: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3"/>
    <w:bookmarkEnd w:id="14"/>
    <w:bookmarkStart w:id="25" w:name="from-hazards-to-risks"/>
    <w:p>
      <w:pPr>
        <w:pStyle w:val="Heading2"/>
      </w:pPr>
      <w:r>
        <w:t xml:space="preserve">2 17.2 From Hazards to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survival analyses, there are two main ways to arrange the analytic dataset.</w:t>
      </w:r>
    </w:p>
    <w:p>
      <w:pPr>
        <w:pStyle w:val="BodyText"/>
      </w:pPr>
      <w:r>
        <w:t xml:space="preserve">In the first data arrangement each row of the database corresponds to one person.</w:t>
      </w:r>
      <w:r>
        <w:t xml:space="preserve"> </w:t>
      </w:r>
      <w:r>
        <w:t xml:space="preserve">This data format—often referred to as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there are time-varying treatments and confounders—is the one we have used so far in this book.</w:t>
      </w:r>
      <w:r>
        <w:t xml:space="preserve"> </w:t>
      </w:r>
      <w:r>
        <w:t xml:space="preserve">In the analyses of the previous section, the dataset had 1629 rows, one per individual.</w:t>
      </w:r>
    </w:p>
    <w:p>
      <w:pPr>
        <w:pStyle w:val="BodyText"/>
      </w:pPr>
      <w:r>
        <w:t xml:space="preserve">In the second data arrangement each row of the database corresponds to a</w:t>
      </w:r>
      <w:r>
        <w:t xml:space="preserve"> </w:t>
      </w:r>
      <w:r>
        <w:rPr>
          <w:b/>
          <w:bCs/>
        </w:rPr>
        <w:t xml:space="preserve">person-time</w:t>
      </w:r>
      <w:r>
        <w:t xml:space="preserve">.</w:t>
      </w:r>
      <w:r>
        <w:t xml:space="preserve"> </w:t>
      </w:r>
      <w:r>
        <w:t xml:space="preserve">That is, the first row contains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row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the follow-up of person 1 ends.</w:t>
      </w:r>
      <w:r>
        <w:t xml:space="preserve"> </w:t>
      </w:r>
      <w:r>
        <w:t xml:space="preserve">This person-time (or</w:t>
      </w:r>
      <w:r>
        <w:t xml:space="preserve"> </w:t>
      </w:r>
      <w:r>
        <w:t xml:space="preserve">“long”</w:t>
      </w:r>
      <w:r>
        <w:t xml:space="preserve">) data format is the one we will use in most survival analyses in this chapter</w:t>
      </w:r>
      <w:r>
        <w:t xml:space="preserve"> </w:t>
      </w:r>
      <w:r>
        <w:t xml:space="preserve">and in all analyses with time-varying treatments in Part III.</w:t>
      </w:r>
      <w:r>
        <w:t xml:space="preserve"> </w:t>
      </w:r>
      <w:r>
        <w:t xml:space="preserve">In our smoking cessation example, the person-time dataset has 176,764 rows, one per person-month.</w:t>
      </w:r>
    </w:p>
    <w:bookmarkStart w:id="16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To encode survival information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person-time data format,</w:t>
      </w:r>
      <w:r>
        <w:t xml:space="preserve"> </w:t>
      </w:r>
      <w:r>
        <w:t xml:space="preserve">it is helpful to define a</w:t>
      </w:r>
      <w:r>
        <w:t xml:space="preserve"> </w:t>
      </w:r>
      <w:r>
        <w:rPr>
          <w:b/>
          <w:bCs/>
        </w:rPr>
        <w:t xml:space="preserve">time-varying indicator of event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1 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 value 0 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5"/>
        </w:tc>
      </w:tr>
    </w:tbl>
    <w:bookmarkEnd w:id="16"/>
    <w:bookmarkStart w:id="1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The survival probability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conditional probabilities of having survived each interval between 0 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More generally,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equals the product of one minus the hazard at all previous times.</w:t>
      </w:r>
      <w:r>
        <w:t xml:space="preserve"> </w:t>
      </w:r>
      <w:r>
        <w:t xml:space="preserve">If we know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 can easily compute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(or the risk at</w:t>
      </w:r>
      <w:r>
        <w:t xml:space="preserve"> </w:t>
      </w:r>
      <m:oMath>
        <m:r>
          <m:t>k</m:t>
        </m:r>
      </m:oMath>
      <w:r>
        <w:t xml:space="preserve">, which is just one minus the survival).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The survival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is equal to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times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conditional on having survived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17"/>
    <w:bookmarkStart w:id="24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t xml:space="preserve">The hazard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can be estimated</w:t>
      </w:r>
      <w:r>
        <w:t xml:space="preserve"> </w:t>
      </w:r>
      <w:r>
        <w:rPr>
          <w:b/>
          <w:bCs/>
        </w:rPr>
        <w:t xml:space="preserve">nonparametrically</w:t>
      </w:r>
      <w:r>
        <w:t xml:space="preserve"> </w:t>
      </w:r>
      <w:r>
        <w:t xml:space="preserve">by dividing the number of cases during the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the number of individuals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resulting nonparametric estimate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referred to as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, or</w:t>
      </w:r>
      <w:r>
        <w:t xml:space="preserve"> </w:t>
      </w:r>
      <w:r>
        <w:rPr>
          <w:b/>
          <w:bCs/>
        </w:rPr>
        <w:t xml:space="preserve">product-limit</w:t>
      </w:r>
      <w:r>
        <w:t xml:space="preserve">, estimator.</w:t>
      </w:r>
    </w:p>
    <w:p>
      <w:pPr>
        <w:pStyle w:val="BodyText"/>
      </w:pPr>
      <w:r>
        <w:t xml:space="preserve">An easy way to parametrically estimate the hazards is to fit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restricted to individuals who survived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our example, we can estimate the hazards in the treated and untreated by fitting: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flexible time-varying intercept.</w:t>
      </w:r>
      <w:r>
        <w:t xml:space="preserve"> </w:t>
      </w:r>
      <w:r>
        <w:t xml:space="preserve">The product terms between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time allow the hazard ratio to vary over time</w:t>
      </w:r>
      <w:r>
        <w:t xml:space="preserve"> </w:t>
      </w:r>
      <w:r>
        <w:t xml:space="preserve">(see Technical Point 17.1 for details on how a logistic model approximates a hazards model).</w:t>
      </w:r>
    </w:p>
    <w:p>
      <w:pPr>
        <w:pStyle w:val="BodyText"/>
      </w:pPr>
      <w:r>
        <w:t xml:space="preserve">We then compute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by multiplying the estimates of one minus the hazard from the logistic model,</w:t>
      </w:r>
      <w:r>
        <w:t xml:space="preserve"> </w:t>
      </w:r>
      <w:r>
        <w:t xml:space="preserve">separately for the treated and the untreated.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Methods for survival analysis need to accommodate the expected censoring of failure times due to administrative end of follow-up.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24"/>
    <w:bookmarkEnd w:id="25"/>
    <w:bookmarkStart w:id="29" w:name="why-censoring-matters"/>
    <w:p>
      <w:pPr>
        <w:pStyle w:val="Heading2"/>
      </w:pPr>
      <w:r>
        <w:t xml:space="preserve">3 17.3 Why Censoring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only source of censoring in our study is a common administrative censoring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that is identical for all individuals.</w:t>
      </w:r>
      <w:r>
        <w:t xml:space="preserve"> </w:t>
      </w:r>
      <w:r>
        <w:t xml:space="preserve">In this simple setting the procedure described in the previous section to estimate the survival is straightforward.</w:t>
      </w:r>
    </w:p>
    <w:p>
      <w:pPr>
        <w:pStyle w:val="BodyText"/>
      </w:pPr>
      <w:r>
        <w:t xml:space="preserve">Now suppose that individuals start the follow-up at different dates—there is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 </w:t>
      </w:r>
      <w:r>
        <w:t xml:space="preserve">into the study—but the administrative end of follow-up date is common to all.</w:t>
      </w:r>
      <w:r>
        <w:t xml:space="preserve"> </w:t>
      </w:r>
      <w:r>
        <w:t xml:space="preserve">Because the administrative censoring time is the difference between the administrative end of follow-up and the time of start of follow-up,</w:t>
      </w:r>
      <w:r>
        <w:t xml:space="preserve"> </w:t>
      </w:r>
      <w:r>
        <w:t xml:space="preserve">different individuals will have different administrative censoring times.</w:t>
      </w:r>
    </w:p>
    <w:bookmarkStart w:id="26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In this setting it is helpful to define a time-varying</w:t>
      </w:r>
      <w:r>
        <w:t xml:space="preserve"> </w:t>
      </w:r>
      <w:r>
        <w:rPr>
          <w:b/>
          <w:bCs/>
        </w:rPr>
        <w:t xml:space="preserve">indicator for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0 if the administrative end of follow-up is greater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</w:p>
    <w:p>
      <w:pPr>
        <w:pStyle w:val="BodyText"/>
      </w:pPr>
      <w:r>
        <w:t xml:space="preserve">Our goal is to estimate the survival curve that would have been observed if nobody had been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  <w:r>
        <w:t xml:space="preserve"> </w:t>
      </w:r>
      <w:r>
        <w:t xml:space="preserve">That is, our goal is to estimate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</w:t>
      </w:r>
      <w:r>
        <w:t xml:space="preserve"> </w:t>
      </w:r>
      <w:r>
        <w:t xml:space="preserve">if the value of the time-varying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 known even after censoring.</w:t>
      </w:r>
      <w:r>
        <w:t xml:space="preserve"> </w:t>
      </w:r>
      <w:r>
        <w:t xml:space="preserve">We can also refer to this quantity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 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makes explicit that we want the survival under no censoring.</w:t>
      </w:r>
    </w:p>
    <w:bookmarkEnd w:id="26"/>
    <w:bookmarkStart w:id="27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validly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simply computing the fraction of individuals who received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survived and were not censored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fraction is a valid estimator of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is not what we want.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 However, if nobody had been censored, the survival would have been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7"/>
    <w:bookmarkStart w:id="28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Under (as-if) randomly assigned censoring,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The estimation procedure is the same as described above</w:t>
      </w:r>
      <w:r>
        <w:t xml:space="preserve"> </w:t>
      </w:r>
      <w:r>
        <w:t xml:space="preserve">except that we estimate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Often we are not ready to assume that censoring is as if randomly assigned.</w:t>
      </w:r>
      <w:r>
        <w:t xml:space="preserve"> </w:t>
      </w:r>
      <w:r>
        <w:t xml:space="preserve">When there is staggered entry, the calendar time at study entry may be associated with the outcome.</w:t>
      </w:r>
      <w:r>
        <w:t xml:space="preserve"> </w:t>
      </w:r>
      <w:r>
        <w:t xml:space="preserve">Therefore, the above procedure will need to be adjusted for baseline confounders,</w:t>
      </w:r>
      <w:r>
        <w:t xml:space="preserve"> </w:t>
      </w:r>
      <w:r>
        <w:t xml:space="preserve">which can be achieved through g-methods as described in the next sections.</w:t>
      </w:r>
    </w:p>
    <w:bookmarkEnd w:id="28"/>
    <w:bookmarkEnd w:id="29"/>
    <w:bookmarkStart w:id="32" w:name="X2f8301fdc8b3a6064d2e10d9e1c1e002f0db47a"/>
    <w:p>
      <w:pPr>
        <w:pStyle w:val="Heading2"/>
      </w:pPr>
      <w:r>
        <w:t xml:space="preserve">4 17.4 IP Weighting of Marginal Structural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treated and the untreated are not exchangeable,</w:t>
      </w:r>
      <w:r>
        <w:t xml:space="preserve"> </w:t>
      </w:r>
      <w:r>
        <w:t xml:space="preserve">a direct contrast of their survival curves cannot be endowed with a causal interpretation.</w:t>
      </w:r>
      <w:r>
        <w:t xml:space="preserve"> </w:t>
      </w:r>
      <w:r>
        <w:t xml:space="preserve">In our smoking cessation example, we estimated that the 120-month survival was lower in quitters than in non-quitters (76.2% versus 82.0%),</w:t>
      </w:r>
      <w:r>
        <w:t xml:space="preserve"> </w:t>
      </w:r>
      <w:r>
        <w:t xml:space="preserve">but that does not necessarily imply that smoking cessation increases mortality.</w:t>
      </w:r>
      <w:r>
        <w:t xml:space="preserve"> </w:t>
      </w:r>
      <w:r>
        <w:t xml:space="preserve">Older people are more likely to quit smoking and also more likely to die.</w:t>
      </w:r>
      <w:r>
        <w:t xml:space="preserve"> </w:t>
      </w:r>
      <w:r>
        <w:t xml:space="preserve">This confounding by age makes smoking cessation look bad</w:t>
      </w:r>
      <w:r>
        <w:t xml:space="preserve"> </w:t>
      </w:r>
      <w:r>
        <w:t xml:space="preserve">because the proportion of older people is greater among quitters than among non-quitters.</w:t>
      </w:r>
    </w:p>
    <w:bookmarkStart w:id="30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 us define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as a counterfactual time-varying indicator for death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Suppose 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 if everybody had received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 treatment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), respectively.</w:t>
      </w:r>
      <w:r>
        <w:t xml:space="preserve"> </w:t>
      </w:r>
      <w:r>
        <w:t xml:space="preserve">The causal contrast of interest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Because of confounding, this contrast may not be validly estimated</w:t>
      </w:r>
      <w:r>
        <w:t xml:space="preserve"> </w:t>
      </w:r>
      <w:r>
        <w:t xml:space="preserve">by the contrast of the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30"/>
    <w:bookmarkStart w:id="31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Let us assume that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exchangeable within levels of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variables.</w:t>
      </w:r>
      <w:r>
        <w:t xml:space="preserve"> </w:t>
      </w:r>
      <w:r>
        <w:t xml:space="preserve">Like in Chapters 12 to 15,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includes the variables sex, age, race, education, intensity and duration of smoking,</w:t>
      </w:r>
      <w:r>
        <w:t xml:space="preserve"> </w:t>
      </w:r>
      <w:r>
        <w:t xml:space="preserve">physical activity in daily life, recreational exercise, and weight.</w:t>
      </w:r>
      <w:r>
        <w:t xml:space="preserve"> </w:t>
      </w:r>
      <w:r>
        <w:t xml:space="preserve">We also assume positivity and consistency.</w:t>
      </w:r>
      <w:r>
        <w:t xml:space="preserve"> </w:t>
      </w:r>
      <w:r>
        <w:t xml:space="preserve">The estimation of IP weighted survival curves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We estimate the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each individual in the study population,</w:t>
      </w:r>
      <w:r>
        <w:t xml:space="preserve"> </w:t>
      </w:r>
      <w:r>
        <w:t xml:space="preserve">using exactly the same procedure as described in Chapter 12.</w:t>
      </w:r>
      <w:r>
        <w:t xml:space="preserve"> </w:t>
      </w:r>
      <w:r>
        <w:t xml:space="preserve">The estimated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has mean 1 (as expected);</w:t>
      </w:r>
      <w:r>
        <w:t xml:space="preserve"> </w:t>
      </w:r>
      <w:r>
        <w:t xml:space="preserve">in our example the weights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Using the person-time data format, we fit a weighted hazards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individuals are weighted by their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This IP weighted model estimates the parameters of the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,</w:t>
      </w:r>
      <w:r>
        <w:t xml:space="preserve"> </w:t>
      </w:r>
      <w:r>
        <w:t xml:space="preserve">i.e., the time-varying hazards that would have been observed if all individuals in the study population had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if they had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estimates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(the counterfactual hazards) from the IP weighted hazards model</w:t>
      </w:r>
      <w:r>
        <w:t xml:space="preserve"> </w:t>
      </w:r>
      <w:r>
        <w:t xml:space="preserve">can then be converted to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under no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our example, the 120-month survival estimates were 80.7% under smoking cessation and 80.5% under no smoking cessation;</w:t>
      </w:r>
      <w:r>
        <w:t xml:space="preserve"> </w:t>
      </w:r>
      <w:r>
        <w:t xml:space="preserve">difference 0.2% (95% confidence interval from −4.1% to 3.7% based on 500 bootstrap samples).</w:t>
      </w:r>
      <w:r>
        <w:t xml:space="preserve"> </w:t>
      </w:r>
      <w:r>
        <w:t xml:space="preserve">Though the survival curve under treatment was lower than the curve under no treatment for most of the follow-up,</w:t>
      </w:r>
      <w:r>
        <w:t xml:space="preserve"> </w:t>
      </w:r>
      <w:r>
        <w:t xml:space="preserve">the maximum difference never exceeded −1.4% with a 95% confidence interval from −3.4% to 0.7%.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IP weighting,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The validity of this procedure requires correct specification of both the treatment model and the marginal hazards model.</w:t>
      </w:r>
    </w:p>
    <w:bookmarkEnd w:id="31"/>
    <w:bookmarkEnd w:id="32"/>
    <w:bookmarkStart w:id="35" w:name="the-parametric-g-formula"/>
    <w:p>
      <w:pPr>
        <w:pStyle w:val="Heading2"/>
      </w:pPr>
      <w:r>
        <w:t xml:space="preserve">5 17.5 The Parametric G-Formula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previous section we estimated the survival curve under treatment and under no treatment via IP weighting.</w:t>
      </w:r>
      <w:r>
        <w:t xml:space="preserve"> </w:t>
      </w:r>
      <w:r>
        <w:t xml:space="preserve">Another method to estimate the marginal survival curves under exchangeability, positivity, and consistency</w:t>
      </w:r>
      <w:r>
        <w:t xml:space="preserve"> </w:t>
      </w:r>
      <w:r>
        <w:t xml:space="preserve">is standardization based on parametric models, i.e.,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3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weighted average of the survival conditional probabilities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within levels of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treatment level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with the proportion of individuals in each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the weights.</w:t>
      </w:r>
      <w:r>
        <w:t xml:space="preserve"> </w:t>
      </w:r>
      <w:r>
        <w:t xml:space="preserve">That is, under exchangeability, positivity, and consistency,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standardized survival: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bookmarkEnd w:id="33"/>
    <w:bookmarkStart w:id="34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The estimation of the parametric g-formula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Fit a parametric hazards model including the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the model is correctly specified, it validly estimates the time-varying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within levels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covariates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product of one minus the conditional hazards: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is equal to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the weighted average of the conditional survival across all values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covariates</w:t>
      </w:r>
      <w:r>
        <w:t xml:space="preserve"> </w:t>
      </w:r>
      <m:oMath>
        <m:r>
          <m:t>L</m:t>
        </m:r>
      </m:oMath>
      <w:r>
        <w:t xml:space="preserve">—that is,</w:t>
      </w:r>
      <w:r>
        <w:t xml:space="preserve"> </w:t>
      </w:r>
      <w:r>
        <w:t xml:space="preserve">standardize the survival to the confounder distribution—using the method described in Section 13.3.</w:t>
      </w:r>
    </w:p>
    <w:p>
      <w:pPr>
        <w:pStyle w:val="BodyText"/>
      </w:pPr>
      <w:r>
        <w:t xml:space="preserve">In our example, the survival curve under treatment was lower than the curve under no treatment during the entire follow-up,</w:t>
      </w:r>
      <w:r>
        <w:t xml:space="preserve"> </w:t>
      </w:r>
      <w:r>
        <w:t xml:space="preserve">but the maximum difference never exceeded −2.0% (95% confidence interval from −5.6% to 1.8%).</w:t>
      </w:r>
      <w:r>
        <w:t xml:space="preserve"> </w:t>
      </w:r>
      <w:r>
        <w:t xml:space="preserve">The 120-month survival estimates were 80.4% under smoking cessation and 80.6% under no smoking cessation;</w:t>
      </w:r>
      <w:r>
        <w:t xml:space="preserve"> </w:t>
      </w:r>
      <w:r>
        <w:t xml:space="preserve">difference 0.2% (95% confidence interval from −4.6% to 4.1%).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Note that the survival curves estimated via IP weighting (previous section) and the parametric g-formula (this section)</w:t>
      </w:r>
      <w:r>
        <w:t xml:space="preserve"> </w:t>
      </w:r>
      <w:r>
        <w:t xml:space="preserve">are similar but not identical because they rely on different parametric assumptions:</w:t>
      </w:r>
      <w:r>
        <w:t xml:space="preserve"> </w:t>
      </w:r>
      <w:r>
        <w:t xml:space="preserve">the IP weighted estimates require no misspecification of a model for treatment and a model for the unconditional hazards;</w:t>
      </w:r>
      <w:r>
        <w:t xml:space="preserve"> </w:t>
      </w:r>
      <w:r>
        <w:t xml:space="preserve">the parametric g-formula estimates require no misspecification of a model for the conditional hazards.</w:t>
      </w:r>
    </w:p>
    <w:bookmarkEnd w:id="34"/>
    <w:bookmarkEnd w:id="35"/>
    <w:bookmarkStart w:id="41" w:name="g-estimation-of-structural-nested-models"/>
    <w:p>
      <w:pPr>
        <w:pStyle w:val="Heading2"/>
      </w:pPr>
      <w:r>
        <w:t xml:space="preserve">6 17.6 G-Estimation of Structural Nested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previous sections describe causal contrasts that compare survivals, or risks, under different levels of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survival was computed from hazards estimated by logistic regression models.</w:t>
      </w:r>
      <w:r>
        <w:t xml:space="preserve"> </w:t>
      </w:r>
      <w:r>
        <w:t xml:space="preserve">This approach is feasible when the analytic method is IP weighting of marginal structural models or the parametric g-formula,</w:t>
      </w:r>
      <w:r>
        <w:t xml:space="preserve"> </w:t>
      </w:r>
      <w:r>
        <w:t xml:space="preserve">but not when the method is g-estimation of structural nested models.</w:t>
      </w:r>
    </w:p>
    <w:p>
      <w:pPr>
        <w:pStyle w:val="BodyText"/>
      </w:pPr>
      <w:r>
        <w:t xml:space="preserve">As explained in Chapter 14, structural nested models are models for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 </w:t>
      </w:r>
      <w:r>
        <w:t xml:space="preserve">(e.g., the difference or ratio of covariate-specific means under different treatment levels),</w:t>
      </w:r>
      <w:r>
        <w:t xml:space="preserve"> </w:t>
      </w:r>
      <w:r>
        <w:t xml:space="preserve">not for the components of those contrasts.</w:t>
      </w:r>
      <w:r>
        <w:t xml:space="preserve"> </w:t>
      </w:r>
      <w:r>
        <w:t xml:space="preserve">Therefore we cannot estimate survivals or hazards using a structural nested model.</w:t>
      </w:r>
    </w:p>
    <w:bookmarkStart w:id="36" w:name="structural-nested-aft-models"/>
    <w:p>
      <w:pPr>
        <w:pStyle w:val="Heading3"/>
      </w:pPr>
      <w:r>
        <w:t xml:space="preserve">6.1 Structural Nested AFT Models</w:t>
      </w:r>
    </w:p>
    <w:p>
      <w:pPr>
        <w:pStyle w:val="FirstParagraph"/>
      </w:pPr>
      <w:r>
        <w:t xml:space="preserve">We can, however, model the ratio of survival times under different treatment levels.</w:t>
      </w:r>
      <w:r>
        <w:t xml:space="preserve"> </w:t>
      </w: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the counterfactual time of survival for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Suppose the effect of treatment is the same for every individual.</w:t>
      </w:r>
      <w:r>
        <w:t xml:space="preserve"> </w:t>
      </w:r>
      <w:r>
        <w:t xml:space="preserve">We can then consider the</w:t>
      </w:r>
      <w:r>
        <w:t xml:space="preserve"> </w:t>
      </w:r>
      <w:r>
        <w:rPr>
          <w:b/>
          <w:bCs/>
        </w:rPr>
        <w:t xml:space="preserve">structural nested accelerated failure time (AFT) model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the expansion (or contraction) of each individual’s survival time attributable to treatment: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More generally, the effect of treatment may depend on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 a more general structural AFT would be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Rearranging, the model can be written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36"/>
    <w:bookmarkStart w:id="40" w:name="Xef19479ea2784059f17506e0ff97f4b2b271fc9"/>
    <w:p>
      <w:pPr>
        <w:pStyle w:val="Heading3"/>
      </w:pPr>
      <w:r>
        <w:t xml:space="preserve">6.2 Selection Bias from Administrative Censoring</w:t>
      </w:r>
    </w:p>
    <w:p>
      <w:pPr>
        <w:pStyle w:val="FirstParagraph"/>
      </w:pPr>
      <w:r>
        <w:t xml:space="preserve">Consider a 60-month randomized experiment.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survival time under treatment and under no treatment for three types of individuals: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Because the administrative end of follow-up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</w:t>
      </w:r>
      <w:r>
        <w:t xml:space="preserve"> </w:t>
      </w:r>
      <w:r>
        <w:t xml:space="preserve">the death of type 1 individuals will be observed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less than 60),</w:t>
      </w:r>
      <w:r>
        <w:t xml:space="preserve"> </w:t>
      </w:r>
      <w:r>
        <w:t xml:space="preserve">and the death of type 3 individuals will be administratively censored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greater than 60).</w:t>
      </w:r>
      <w:r>
        <w:t xml:space="preserve"> </w:t>
      </w:r>
      <w:r>
        <w:t xml:space="preserve">The death of type 2 individuals, however, will only be observed if they are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).</w:t>
      </w:r>
    </w:p>
    <w:p>
      <w:pPr>
        <w:pStyle w:val="BodyText"/>
      </w:pPr>
      <w:r>
        <w:t xml:space="preserve">Hence an analysis that is restricted to individuals with non-administratively censored death times</w:t>
      </w:r>
      <w:r>
        <w:t xml:space="preserve"> </w:t>
      </w:r>
      <w:r>
        <w:t xml:space="preserve">will have an imbalance of individual types between the treated and the untreated.</w:t>
      </w:r>
      <w:r>
        <w:t xml:space="preserve"> </w:t>
      </w:r>
      <w:r>
        <w:t xml:space="preserve">Exchangeability will be broken because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 will include type 1 and type 2 individuals,</w:t>
      </w:r>
      <w:r>
        <w:t xml:space="preserve"> </w:t>
      </w:r>
      <w:r>
        <w:t xml:space="preserve">whereas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include type 1 individuals only.</w:t>
      </w:r>
      <w:r>
        <w:t xml:space="preserve"> </w:t>
      </w:r>
      <w:r>
        <w:t xml:space="preserve">Individuals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have, on average, a worse prognosis than those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group,</w:t>
      </w:r>
      <w:r>
        <w:t xml:space="preserve"> </w:t>
      </w:r>
      <w:r>
        <w:t xml:space="preserve">which will make treatment look better than it really is.</w:t>
      </w:r>
      <w:r>
        <w:t xml:space="preserve"> </w:t>
      </w:r>
      <w:r>
        <w:t xml:space="preserve">This selection bias arises when treatment has a non-null effect on survival time.</w:t>
      </w:r>
    </w:p>
    <w:p>
      <w:pPr>
        <w:pStyle w:val="BodyText"/>
      </w:pPr>
      <w:r>
        <w:t xml:space="preserve">The g-estimation procedure for the AFT model must account for administrative censoring to avoid this selection bias.</w:t>
      </w:r>
      <w:r>
        <w:t xml:space="preserve"> </w:t>
      </w:r>
      <w:r>
        <w:t xml:space="preserve">The structural AFT model as written is both deterministic and rank-preserving.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because it assumes that for each individual,</w:t>
      </w:r>
      <w:r>
        <w:t xml:space="preserve"> </w:t>
      </w:r>
      <w:r>
        <w:t xml:space="preserve">the counterfactual survival time under no treatment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be computed without error.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because if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untreated,</w:t>
      </w:r>
      <w:r>
        <w:t xml:space="preserve"> </w:t>
      </w:r>
      <w:r>
        <w:t xml:space="preserve">then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treated.</w:t>
      </w:r>
      <w:r>
        <w:t xml:space="preserve"> </w:t>
      </w:r>
      <w:r>
        <w:t xml:space="preserve">Because of the implausibility of rank preservation,</w:t>
      </w:r>
      <w:r>
        <w:t xml:space="preserve"> </w:t>
      </w:r>
      <w:r>
        <w:t xml:space="preserve">one should not generally use methods for causal inference that rely on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define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</m:e>
                </m:d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we define an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</m:acc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40"/>
    <w:bookmarkEnd w:id="41"/>
    <w:bookmarkStart w:id="4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 naive estimation is biased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 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08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08"/>
        </w:numPr>
      </w:pPr>
      <w:r>
        <w:t xml:space="preserve">IP weighting: 80.7% under cessation vs. 80.5% under continued smoking; difference 0.2%</w:t>
      </w:r>
    </w:p>
    <w:p>
      <w:pPr>
        <w:pStyle w:val="Compact"/>
        <w:numPr>
          <w:ilvl w:val="0"/>
          <w:numId w:val="1008"/>
        </w:numPr>
      </w:pPr>
      <w:r>
        <w:t xml:space="preserve">Parametric g-formula: 80.4% under cessation vs. 80.6% under continued smoking; difference −0.2%</w:t>
      </w:r>
    </w:p>
    <w:p>
      <w:pPr>
        <w:pStyle w:val="FirstParagraph"/>
      </w:pPr>
      <w:r>
        <w:t xml:space="preserve">Both adjusted methods found little evidence of an effect of smoking cessation on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09"/>
        </w:numPr>
      </w:pPr>
      <w:r>
        <w:t xml:space="preserve">Hazard ratios vary over time; 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09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09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0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0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0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</w:r>
    </w:p>
    <w:bookmarkEnd w:id="42"/>
    <w:bookmarkStart w:id="4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2026-09-29T06:57:27Z</dcterms:created>
  <dcterms:modified xsi:type="dcterms:W3CDTF">2026-09-29T06:57:27Z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