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6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(same as Chapter 12):</w:t>
      </w:r>
    </w:p>
    <w:p>
      <w:pPr>
        <w:pStyle w:val="Compact"/>
        <w:numPr>
          <w:ilvl w:val="0"/>
          <w:numId w:val="1001"/>
        </w:numPr>
      </w:pPr>
      <w:r>
        <w:t xml:space="preserve">NHEFS: 1629 cigarette smokers aged 25-74 with a baseline visit and a follow-up visit about 10 years later</w:t>
      </w:r>
    </w:p>
    <w:p>
      <w:pPr>
        <w:pStyle w:val="Compact"/>
        <w:numPr>
          <w:ilvl w:val="0"/>
          <w:numId w:val="1001"/>
        </w:numPr>
      </w:pPr>
      <w:r>
        <w:t xml:space="preserve">1566 had weight measured at follow-up, i.e., are uncensored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smoking cessation (1: yes, 0: no); 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FirstParagraph"/>
      </w:pPr>
      <w:r>
        <w:rPr>
          <w:b/>
          <w:bCs/>
        </w:rPr>
        <w:t xml:space="preserve">Causal effect of interest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difference in mean weight gain had everybody been treated and uncensored versus untreated and uncensored.</w:t>
      </w:r>
    </w:p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1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standardization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Under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(plus consistency),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and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consistently estimates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Derivation</w:t>
      </w:r>
      <w:r>
        <w:t xml:space="preserve"> </w:t>
      </w:r>
      <w:r>
        <w:t xml:space="preserve">(discrete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Technical Point 2.3 of the book,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given </m:t>
              </m:r>
              <m:r>
                <m:t>L</m:t>
              </m:r>
              <m:r>
                <m:rPr>
                  <m:nor/>
                  <m:sty m:val="p"/>
                </m:rPr>
                <m:t>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p>
      <w:pPr>
        <w:pStyle w:val="FirstParagraph"/>
      </w:pPr>
      <w:r>
        <w:t xml:space="preserve">Positivity is needed in the second line so that the conditional mean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 for every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"/>
    <w:bookmarkStart w:id="15" w:name="supplement-standardizing-to-the-treated"/>
    <w:p>
      <w:pPr>
        <w:pStyle w:val="Heading3"/>
      </w:pPr>
      <w:r>
        <w:t xml:space="preserve">1.2 Supplement: Standardizing to the Treated</w:t>
      </w:r>
    </w:p>
    <w:p>
      <w:pPr>
        <w:pStyle w:val="FirstParagraph"/>
      </w:pPr>
      <w:r>
        <w:t xml:space="preserve">The average causal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 </w:t>
      </w:r>
      <w:r>
        <w:t xml:space="preserve">can also be estimated by standardization (book’s Technical Point 4.1): replace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def-standardization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5"/>
    <w:bookmarkEnd w:id="16"/>
    <w:bookmarkStart w:id="19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nonparametric estimation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(as in Section 2.3) is out of the question.</w:t>
      </w:r>
      <w:r>
        <w:t xml:space="preserve"> </w:t>
      </w:r>
      <w:r>
        <w:t xml:space="preserve">Only 403 uncensored treated individuals are spread across possibly millions of strata of the 9 confounders.</w:t>
      </w:r>
      <w:r>
        <w:t xml:space="preserve"> </w:t>
      </w:r>
      <w:r>
        <w:t xml:space="preserve">Same for the untreated.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fit a parametric model for the mean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17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18" w:name="X6d9a1620ee3fc3b1e14bd8b70fd354ed7e6606a"/>
    <w:p>
      <w:pPr>
        <w:pStyle w:val="Heading3"/>
      </w:pPr>
      <w:r>
        <w:t xml:space="preserve">2.1 Supplement: Other Outcome and Treatment Types</w:t>
      </w:r>
    </w:p>
    <w:p>
      <w:pPr>
        <w:pStyle w:val="FirstParagraph"/>
      </w:pPr>
      <w:r>
        <w:t xml:space="preserve">The same approach applies with other outcome models: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Dichotomous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: fit,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the standardized means are then standardized risks, from which a risk difference, risk ratio, or odds ratio can be computed.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Nondichotomous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: standardize the predicted means at each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interest.</w:t>
      </w:r>
    </w:p>
    <w:p>
      <w:pPr>
        <w:pStyle w:val="FirstParagraph"/>
      </w:pPr>
      <w:r>
        <w:t xml:space="preserve">The conditional (on</w:t>
      </w:r>
      <w:r>
        <w:t xml:space="preserve"> </w:t>
      </w:r>
      <m:oMath>
        <m:r>
          <m:t>L</m:t>
        </m:r>
      </m:oMath>
      <w:r>
        <w:t xml:space="preserve">) odds ratio from a logistic outcome model is generally not equal to the marginal causal odds ratio, because the odds ratio is not collapsible;</w:t>
      </w:r>
      <w:r>
        <w:t xml:space="preserve"> </w:t>
      </w:r>
      <w:r>
        <w:t xml:space="preserve">standardization averages predicted</w:t>
      </w:r>
      <w:r>
        <w:t xml:space="preserve"> </w:t>
      </w:r>
      <w:r>
        <w:rPr>
          <w:i/>
          <w:iCs/>
        </w:rPr>
        <w:t xml:space="preserve">risks</w:t>
      </w:r>
      <w:r>
        <w:t xml:space="preserve"> </w:t>
      </w:r>
      <w:r>
        <w:t xml:space="preserve">first and then forms the effect measure.</w:t>
      </w:r>
    </w:p>
    <w:bookmarkEnd w:id="18"/>
    <w:bookmarkEnd w:id="19"/>
    <w:bookmarkStart w:id="28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standardized mean is a double expectation: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so it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The equality holds because the outer expectation is over the marginal distribution of</w:t>
      </w:r>
      <w:r>
        <w:t xml:space="preserve"> </w:t>
      </w:r>
      <m:oMath>
        <m:r>
          <m:t>L</m:t>
        </m:r>
      </m:oMath>
      <w:r>
        <w:t xml:space="preserve">: writing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, we have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by the definition of expectation.</w:t>
      </w:r>
      <w:r>
        <w:t xml:space="preserve"> </w:t>
      </w: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21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0"/>
        </w:tc>
      </w:tr>
    </w:tbl>
    <w:bookmarkEnd w:id="21"/>
    <w:bookmarkStart w:id="23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23"/>
    <w:bookmarkStart w:id="27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24"/>
        </w:tc>
      </w:tr>
    </w:tbl>
    <w:p>
      <w:pPr>
        <w:pStyle w:val="BodyText"/>
      </w:pPr>
      <w:r>
        <w:t xml:space="preserve">The two intervals in the book belong to different methods.</w:t>
      </w:r>
      <w:r>
        <w:t xml:space="preserve"> </w:t>
      </w:r>
      <w:r>
        <w:t xml:space="preserve">The bootstrap interval (2.6, 4.5) is the parametric g-formula’s own</w:t>
      </w:r>
      <w:r>
        <w:t xml:space="preserve"> </w:t>
      </w:r>
      <w:r>
        <w:t xml:space="preserve">(Hernán and Robins 2020, chap. 13, p. 179)</w:t>
      </w:r>
      <w:r>
        <w:t xml:space="preserve">.</w:t>
      </w:r>
      <w:r>
        <w:t xml:space="preserve"> </w:t>
      </w:r>
      <w:r>
        <w:t xml:space="preserve">The interval (2.5, 4.5) is the one for the IP weighted estimate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  <w:r>
        <w:t xml:space="preserve"> </w:t>
      </w:r>
      <w:r>
        <w:t xml:space="preserve">in Chapter 12</w:t>
      </w:r>
      <w:r>
        <w:t xml:space="preserve"> </w:t>
      </w:r>
      <w:r>
        <w:t xml:space="preserve">(Hernán and Robins 2020, chap. 12, p. 174)</w:t>
      </w:r>
      <w:r>
        <w:t xml:space="preserve">.</w:t>
      </w:r>
      <w:r>
        <w:t xml:space="preserve"> </w:t>
      </w:r>
      <w:r>
        <w:t xml:space="preserve">The summary in Section 13.5 states one interval, (2.5, 4.5), for both methods together</w:t>
      </w:r>
      <w:r>
        <w:t xml:space="preserve"> </w:t>
      </w:r>
      <w:r>
        <w:t xml:space="preserve">(Hernán and Robins 2020, chap. 13, p. 181)</w:t>
      </w:r>
      <w:r>
        <w:t xml:space="preserve">;</w:t>
      </w:r>
      <w:r>
        <w:t xml:space="preserve"> </w:t>
      </w:r>
      <w:r>
        <w:t xml:space="preserve">that interval matches the IP weighted one, and the g-formula’s own is (2.6, 4.5).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27"/>
    <w:bookmarkEnd w:id="28"/>
    <w:bookmarkStart w:id="40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t xml:space="preserve">Without models, the IP weighted and standardized means are</w:t>
      </w:r>
      <w:r>
        <w:t xml:space="preserve"> </w:t>
      </w:r>
      <w:r>
        <w:rPr>
          <w:b/>
          <w:bCs/>
        </w:rPr>
        <w:t xml:space="preserve">exactly equal</w:t>
      </w:r>
      <w:r>
        <w:t xml:space="preserve"> </w:t>
      </w:r>
      <w:r>
        <w:t xml:space="preserve">(Technical Point 2.3).</w:t>
      </w:r>
    </w:p>
    <w:p>
      <w:pPr>
        <w:pStyle w:val="Compact"/>
        <w:numPr>
          <w:ilvl w:val="0"/>
          <w:numId w:val="1010"/>
        </w:numPr>
      </w:pPr>
      <w:r>
        <w:t xml:space="preserve">With models, they generally</w:t>
      </w:r>
      <w:r>
        <w:t xml:space="preserve"> </w:t>
      </w:r>
      <w:r>
        <w:rPr>
          <w:b/>
          <w:bCs/>
        </w:rPr>
        <w:t xml:space="preserve">differ</w:t>
      </w:r>
      <w:r>
        <w:t xml:space="preserve">, because they model different things:</w:t>
      </w:r>
    </w:p>
    <w:p>
      <w:pPr>
        <w:pStyle w:val="Compact"/>
        <w:numPr>
          <w:ilvl w:val="1"/>
          <w:numId w:val="1011"/>
        </w:numPr>
      </w:pPr>
      <w:r>
        <w:t xml:space="preserve">IP weighting: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(in Chapter 12, logistic models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 </w:t>
      </w:r>
      <w:r>
        <w:t xml:space="preserve">(here, a linear model)</w:t>
      </w:r>
    </w:p>
    <w:p>
      <w:pPr>
        <w:pStyle w:val="Compact"/>
        <w:numPr>
          <w:ilvl w:val="0"/>
          <w:numId w:val="1010"/>
        </w:numPr>
      </w:pPr>
      <w:r>
        <w:t xml:space="preserve">Some misspecification is inescapable, and it will usually bias the two estimates differently.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difference between the two estimates signals serious misspecification in at least one of them.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small</w:t>
      </w:r>
      <w:r>
        <w:t xml:space="preserve"> </w:t>
      </w:r>
      <w:r>
        <w:t xml:space="preserve">difference does not guarantee correct models, but it is reassuring: badly misspecified models are unlikely to produce biases of similar magnitude and direction.</w:t>
      </w:r>
    </w:p>
    <w:p>
      <w:pPr>
        <w:pStyle w:val="Compact"/>
        <w:numPr>
          <w:ilvl w:val="0"/>
          <w:numId w:val="1012"/>
        </w:numPr>
      </w:pPr>
      <w:r>
        <w:t xml:space="preserve">In NHEFS both estimates round to</w:t>
      </w:r>
      <w:r>
        <w:t xml:space="preserve"> </w:t>
      </w:r>
      <w:r>
        <w:rPr>
          <w:b/>
          <w:bCs/>
        </w:rPr>
        <w:t xml:space="preserve">3.5 kg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Neither method modeled the confounders</w:t>
      </w:r>
      <w:r>
        <w:t xml:space="preserve"> </w:t>
      </w:r>
      <m:oMath>
        <m:r>
          <m:t>L</m:t>
        </m:r>
      </m:oMath>
      <w:r>
        <w:t xml:space="preserve">: IP weighting does not need their distribution, and standardization used their empirical distribution.</w:t>
      </w:r>
    </w:p>
    <w:bookmarkStart w:id="30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9"/>
        </w:tc>
      </w:tr>
    </w:tbl>
    <w:p>
      <w:pPr>
        <w:pStyle w:val="Compact"/>
        <w:numPr>
          <w:ilvl w:val="0"/>
          <w:numId w:val="1013"/>
        </w:numPr>
      </w:pPr>
      <w:r>
        <w:t xml:space="preserve">For an average causal effect we only need the conditional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outcome;</w:t>
      </w:r>
      <w:r>
        <w:t xml:space="preserve"> </w:t>
      </w:r>
      <w:r>
        <w:t xml:space="preserve">for a standardized</w:t>
      </w:r>
      <w:r>
        <w:t xml:space="preserve"> </w:t>
      </w:r>
      <w:r>
        <w:rPr>
          <w:b/>
          <w:bCs/>
        </w:rPr>
        <w:t xml:space="preserve">distribution</w:t>
      </w:r>
      <w:r>
        <w:t xml:space="preserve"> </w:t>
      </w:r>
      <w:r>
        <w:t xml:space="preserve">(pdf) we would need the conditional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Without time-varying confounders, the parametric g-formula does not require modeling the distribution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Robins (1986)</w:t>
      </w:r>
      <w:r>
        <w:t xml:space="preserve"> </w:t>
      </w:r>
      <w:r>
        <w:t xml:space="preserve">generalized standardization to time-varying treatments and confounders under the name</w:t>
      </w:r>
      <w:r>
        <w:t xml:space="preserve"> </w:t>
      </w:r>
      <w:r>
        <w:rPr>
          <w:i/>
          <w:iCs/>
        </w:rPr>
        <w:t xml:space="preserve">g-computation algorithm formula</w:t>
      </w:r>
      <w:r>
        <w:t xml:space="preserve">.</w:t>
      </w:r>
      <w:r>
        <w:t xml:space="preserve"> </w:t>
      </w:r>
      <w:r>
        <w:t xml:space="preserve">Some authors shorten this to</w:t>
      </w:r>
      <w:r>
        <w:t xml:space="preserve"> </w:t>
      </w:r>
      <w:r>
        <w:t xml:space="preserve">“g-formula”</w:t>
      </w:r>
      <w:r>
        <w:t xml:space="preserve">, others to</w:t>
      </w:r>
      <w:r>
        <w:t xml:space="preserve"> </w:t>
      </w:r>
      <w:r>
        <w:t xml:space="preserve">“g-computation”</w:t>
      </w:r>
      <w:r>
        <w:t xml:space="preserve">.</w:t>
      </w:r>
      <w:r>
        <w:t xml:space="preserve"> </w:t>
      </w:r>
      <w:r>
        <w:t xml:space="preserve">The book uses only</w:t>
      </w:r>
      <w:r>
        <w:t xml:space="preserve"> </w:t>
      </w:r>
      <w:r>
        <w:t xml:space="preserve">“g-formula”</w:t>
      </w:r>
      <w:r>
        <w:t xml:space="preserve">, because</w:t>
      </w:r>
      <w:r>
        <w:t xml:space="preserve"> </w:t>
      </w:r>
      <w:r>
        <w:t xml:space="preserve">“g-computation”</w:t>
      </w:r>
      <w:r>
        <w:t xml:space="preserve"> </w:t>
      </w:r>
      <w:r>
        <w:t xml:space="preserve">is often confused with g-estimation, a different method (Chapter 14).</w:t>
      </w:r>
    </w:p>
    <w:p>
      <w:pPr>
        <w:pStyle w:val="BodyText"/>
      </w:pPr>
      <w:r>
        <w:t xml:space="preserve">Part III defines the g-formula for time-varying treatments.</w:t>
      </w:r>
    </w:p>
    <w:bookmarkEnd w:id="30"/>
    <w:bookmarkStart w:id="36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t xml:space="preserve">When both IP weighting and the parametric g-formula can be used,</w:t>
      </w:r>
      <w:r>
        <w:t xml:space="preserve"> </w:t>
      </w:r>
      <w:r>
        <w:rPr>
          <w:b/>
          <w:bCs/>
        </w:rPr>
        <w:t xml:space="preserve">use both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Whenever possible, use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estimators, which combine a treatment model and an outcome model: under exchangeability and positivity given</w:t>
      </w:r>
      <w:r>
        <w:t xml:space="preserve"> </w:t>
      </w:r>
      <m:oMath>
        <m:r>
          <m:t>L</m:t>
        </m:r>
      </m:oMath>
      <w:r>
        <w:t xml:space="preserve">, they are consistent if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model is correct, without knowing which.</w:t>
      </w:r>
    </w:p>
    <w:p>
      <w:pPr>
        <w:pStyle w:val="Compact"/>
        <w:numPr>
          <w:ilvl w:val="0"/>
          <w:numId w:val="1014"/>
        </w:numPr>
      </w:pPr>
      <w:r>
        <w:t xml:space="preserve">Both methods can also target a subset of the population, e.g., estimating standardized means separately in men and women to study effect modification by sex.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write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4 (Augmented IP weighted (AIPW) estimator)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acc>
                <m:sSub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</m:d>
                  </m:e>
                </m:nary>
              </m:oMath>
            </m:oMathPara>
          </w:p>
          <w:bookmarkEnd w:id="35"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36"/>
    <w:bookmarkStart w:id="39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probability limits of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The estimator converges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A</m:t>
            </m:r>
            <m:r>
              <m:rPr>
                <m:sty m:val="p"/>
              </m:rPr>
              <m:t>{</m:t>
            </m:r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}</m:t>
            </m:r>
            <m:r>
              <m:rPr>
                <m:sty m:val="p"/>
              </m:rPr>
              <m:t>/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, and its asymptotic bias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zero if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(treatment model correct)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(outcome model correct).</w:t>
      </w:r>
    </w:p>
    <w:p>
      <w:pPr>
        <w:pStyle w:val="BodyText"/>
      </w:pPr>
      <w:r>
        <w:rPr>
          <w:b/>
          <w:bCs/>
        </w:rPr>
        <w:t xml:space="preserve">Derivation.</w:t>
      </w:r>
      <w:r>
        <w:t xml:space="preserve"> </w:t>
      </w:r>
      <w:r>
        <w:t xml:space="preserve">First condition on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|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}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 </m:t>
                  </m:r>
                </m:e>
                <m:e>
                  <m:r>
                    <m:t> </m:t>
                  </m:r>
                  <m:r>
                    <m:t>L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E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L</m:t>
                      </m:r>
                    </m:e>
                  </m:d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contributes)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subtracting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bias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π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π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{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limit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The bias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39"/>
    <w:bookmarkEnd w:id="40"/>
    <w:bookmarkStart w:id="43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Our first estimates from real data, by IP weighting and by the parametric g-formula:</w:t>
      </w:r>
    </w:p>
    <w:p>
      <w:pPr>
        <w:pStyle w:val="Compact"/>
        <w:numPr>
          <w:ilvl w:val="0"/>
          <w:numId w:val="1017"/>
        </w:numPr>
      </w:pPr>
      <w:r>
        <w:t xml:space="preserve">mean weight gain: 5.2 kg if everybody had quit, 1.7 kg if nobody had quit</w:t>
      </w:r>
    </w:p>
    <w:p>
      <w:pPr>
        <w:pStyle w:val="Compact"/>
        <w:numPr>
          <w:ilvl w:val="0"/>
          <w:numId w:val="1017"/>
        </w:numPr>
      </w:pPr>
      <w:r>
        <w:t xml:space="preserve">effect:</w:t>
      </w:r>
      <w:r>
        <w:t xml:space="preserve"> </w:t>
      </w:r>
      <w:r>
        <w:rPr>
          <w:b/>
          <w:bCs/>
        </w:rPr>
        <w:t xml:space="preserve">3.5 kg</w:t>
      </w:r>
      <w:r>
        <w:t xml:space="preserve"> </w:t>
      </w:r>
      <w:r>
        <w:t xml:space="preserve">by both methods (95% CI: 2.5, 4.5 for IP weighting;</w:t>
      </w:r>
      <w:r>
        <w:t xml:space="preserve"> </w:t>
      </w:r>
      <w:r>
        <w:t xml:space="preserve">2.6, 4.5 for the g-formula)</w:t>
      </w:r>
    </w:p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41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Identifiability</w:t>
      </w:r>
      <w:r>
        <w:t xml:space="preserve">: exchangeability, positivity, and consistency, so that the observational study emulates the target trial.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measurement error</w:t>
      </w:r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9).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model misspecification</w:t>
      </w:r>
      <w:r>
        <w:t xml:space="preserve"> </w:t>
      </w:r>
      <w:r>
        <w:t xml:space="preserve">(Chapter 11).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41"/>
    <w:bookmarkStart w:id="42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None of these conditions is empirically testable;</w:t>
      </w:r>
      <w:r>
        <w:t xml:space="preserve"> </w:t>
      </w:r>
      <w:r>
        <w:t xml:space="preserve">we assume they hold approximately, based on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Expert knowledge is incomplete, so analyses should explore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to the assumptions.</w:t>
      </w:r>
    </w:p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42"/>
    <w:bookmarkEnd w:id="43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</m:e>
        </m:d>
      </m:oMath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Doubly robust estimators</w:t>
      </w:r>
      <w:r>
        <w:t xml:space="preserve">: consistent if either the treatment or the outcome model is correct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2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2"/>
        </w:numPr>
      </w:pPr>
      <w:r>
        <w:t xml:space="preserve">Chapter 18 returns to doubly robust estimation with machine learning.</w:t>
      </w:r>
    </w:p>
    <w:bookmarkStart w:id="48" w:name="refs"/>
    <w:bookmarkStart w:id="44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44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Start w:id="47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2026-10-02T17:39:16Z</dcterms:created>
  <dcterms:modified xsi:type="dcterms:W3CDTF">2026-10-02T17:39:16Z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