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17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 we can use the structural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vector parameters.</w:t>
      </w:r>
    </w:p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r>
        <w:t xml:space="preserve">1.3 Estimating the Structural Model by Outcome Regression</w:t>
      </w:r>
    </w:p>
    <w:p>
      <w:pPr>
        <w:pStyle w:val="FirstParagraph"/>
      </w:pPr>
      <w:r>
        <w:t xml:space="preserve">Under exchangeability, positivity, and well-defined interventions,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structural parameters can be estimated by ordinary least squares, fitting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 to adjust for confounding and selection bias and the outcome model is correctly specified, then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p>
      <w:pPr>
        <w:pStyle w:val="BodyText"/>
      </w:pPr>
      <w:r>
        <w:t xml:space="preserve">The same approach works for discrete outcomes,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dichotomous.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r>
        <w:t xml:space="preserve">By</w:t>
      </w:r>
      <w:r>
        <w:t xml:space="preserve"> </w:t>
      </w:r>
      <w:hyperlink w:anchor="prp-conditional-effect">
        <w:r>
          <w:rPr>
            <w:rStyle w:val="Hyperlink"/>
          </w:rPr>
          <w:t xml:space="preserve">Proposition 1</w:t>
        </w:r>
      </w:hyperlink>
      <w:r>
        <w:t xml:space="preserve">, each stratum-specific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book reports the coefficients rounded to one or two decimals,</w:t>
      </w:r>
      <w:r>
        <w:t xml:space="preserve"> </w:t>
      </w:r>
      <w:r>
        <w:t xml:space="preserve">so plugging the rounded values into that formula reproduces the reported effect estimates only approximately</w:t>
      </w:r>
      <w:r>
        <w:t xml:space="preserve"> </w:t>
      </w:r>
      <w:r>
        <w:t xml:space="preserve">(e.g.,</w:t>
      </w:r>
      <w:r>
        <w:t xml:space="preserve"> </w:t>
      </w:r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versus the reported 4.4).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In an ideal randomized trial assigning half the individuals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everyone, whatever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3"/>
        </w:numPr>
      </w:pPr>
      <w:r>
        <w:t xml:space="preserve">In an observational study,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unknown and must be estimated, e.g., with the same logistic model used for IP weighting and g-estimation in Chapters 12 and 14.</w:t>
      </w:r>
    </w:p>
    <w:p>
      <w:pPr>
        <w:pStyle w:val="FirstParagraph"/>
      </w:pPr>
      <w:r>
        <w:t xml:space="preserve">The book restricts attention to dichotomous treatments:</w:t>
      </w:r>
      <w:r>
        <w:t xml:space="preserve"> </w:t>
      </w:r>
      <w:r>
        <w:t xml:space="preserve">propensity score methods other than IP weighting, g-estimation, and related doubly robust estimators are difficult to generalize to non-dichotomous treatments</w:t>
      </w:r>
      <w:r>
        <w:t xml:space="preserve"> </w:t>
      </w:r>
      <w:r>
        <w:t xml:space="preserve">(Hernán and Robins 2020, 201)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 open path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).</w:t>
      </w:r>
      <w:r>
        <w:t xml:space="preserve"> </w:t>
      </w: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r>
        <w:t xml:space="preserve">2.1 The Balancing Property</w:t>
      </w:r>
    </w:p>
    <w:p>
      <w:pPr>
        <w:pStyle w:val="FirstParagraph"/>
      </w:pPr>
      <w:r>
        <w:t xml:space="preserve">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the propensity score</w:t>
      </w:r>
      <w:r>
        <w:t xml:space="preserve"> </w:t>
      </w:r>
      <w:r>
        <w:rPr>
          <w:b/>
          <w:bCs/>
        </w:rPr>
        <w:t xml:space="preserve">balances</w:t>
      </w:r>
      <w:r>
        <w:t xml:space="preserve"> </w:t>
      </w:r>
      <w:r>
        <w:t xml:space="preserve">the covariates.</w:t>
      </w:r>
    </w:p>
    <w:p>
      <w:pPr>
        <w:pStyle w:val="BodyText"/>
      </w:pPr>
      <w:r>
        <w:t xml:space="preserve">Two caveats from the book</w:t>
      </w:r>
      <w:r>
        <w:t xml:space="preserve"> </w:t>
      </w:r>
      <w:r>
        <w:t xml:space="preserve">(Hernán and Robins 2020, 201–2)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propensity score balances only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covariates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unlike randomization, it does nothing about unmeasured confounders.</w:t>
      </w:r>
    </w:p>
    <w:p>
      <w:pPr>
        <w:pStyle w:val="Compact"/>
        <w:numPr>
          <w:ilvl w:val="0"/>
          <w:numId w:val="1005"/>
        </w:numPr>
      </w:pPr>
      <w:r>
        <w:t xml:space="preserve">In a finite study population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propensity score balances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approximately, because of sampling variability.</w:t>
      </w:r>
      <w:r>
        <w:t xml:space="preserve"> </w:t>
      </w:r>
      <w:r>
        <w:t xml:space="preserve">An estimated propensity score from a correct model generally gives better balance;</w:t>
      </w:r>
      <w:r>
        <w:t xml:space="preserve"> </w:t>
      </w:r>
      <w:r>
        <w:t xml:space="preserve">in a randomized experiment, adjusting for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corrects both systematic and chance imbalances, whereas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ignores the chance imbalances.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Rosenbaum and Rubin (1983)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since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every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 and selection bias,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Positivity given the propensity score means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nonzero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r>
        <w:t xml:space="preserve">2.2 Supplement: An Algebraic Proof of the Balancing Results</w:t>
      </w:r>
    </w:p>
    <w:p>
      <w:pPr>
        <w:pStyle w:val="FirstParagraph"/>
      </w:pPr>
      <w:r>
        <w:t xml:space="preserve">The book argues graphically (Technical Point 15.1);</w:t>
      </w:r>
      <w:r>
        <w:t xml:space="preserve"> </w:t>
      </w:r>
      <w:r>
        <w:t xml:space="preserve">the same results follow from iterated expectations.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r>
        <w:t xml:space="preserve">2.3 Using the Propensity Score</w:t>
      </w:r>
    </w:p>
    <w:p>
      <w:pPr>
        <w:pStyle w:val="FirstParagraph"/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we can estimate causal effects by</w:t>
      </w:r>
    </w:p>
    <w:p>
      <w:pPr>
        <w:pStyle w:val="Compact"/>
        <w:numPr>
          <w:ilvl w:val="0"/>
          <w:numId w:val="1008"/>
        </w:numPr>
      </w:pPr>
      <w:r>
        <w:t xml:space="preserve">stratification (including outcome regression)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standardization over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First estimate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data, then use the estimate in place of</w:t>
      </w:r>
      <w:r>
        <w:t xml:space="preserve"> </w:t>
      </w:r>
      <m:oMath>
        <m:r>
          <m:t>L</m:t>
        </m:r>
      </m:oMath>
      <w:r>
        <w:t xml:space="preserve">.</w:t>
      </w:r>
    </w:p>
    <w:bookmarkEnd w:id="24"/>
    <w:bookmarkEnd w:id="25"/>
    <w:bookmarkStart w:id="31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identifying conditions, for each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propensity score,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generally continuous, so almost no two individuals share a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(e.g., only one NHEFS individual had an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0.6563).</w:t>
      </w:r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r>
        <w:t xml:space="preserve">See Fine Point 15.2 (Section 15.5) for effect modification by the propensity score.</w:t>
      </w:r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r>
        <w:t xml:space="preserve">3.2 A Problem with Categorized Propensity Scores</w:t>
      </w:r>
    </w:p>
    <w:p>
      <w:pPr>
        <w:pStyle w:val="FirstParagraph"/>
      </w:pPr>
      <w:r>
        <w:t xml:space="preserve">Within a decile, the distribution of the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still differ between treated and untreated</w:t>
      </w:r>
      <w:r>
        <w:t xml:space="preserve"> </w:t>
      </w:r>
      <w:r>
        <w:t xml:space="preserve">(e.g., higher average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treated), so the groups may not be exchangeable within that decile.</w:t>
      </w:r>
    </w:p>
    <w:p>
      <w:pPr>
        <w:pStyle w:val="BodyText"/>
      </w:pPr>
      <w:r>
        <w:t xml:space="preserve">Remedy: use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covariate in the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  <w:r>
        <w:t xml:space="preserve"> </w:t>
      </w:r>
      <w:r>
        <w:t xml:space="preserve">In NHEFS (linear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): 3.6 kg (95% CI: 2.7, 4.5).</w:t>
      </w:r>
    </w:p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for a dichotomous treatment the IP weight denominator is not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but a function of it: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population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standardize the fitted conditional means over the distribution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Chapter 13 procedure with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  <w:r>
        <w:t xml:space="preserve"> </w:t>
      </w:r>
      <w:r>
        <w:t xml:space="preserve">All versions try to build a</w:t>
      </w:r>
      <w:r>
        <w:t xml:space="preserve"> </w:t>
      </w:r>
      <w:r>
        <w:rPr>
          <w:b/>
          <w:bCs/>
        </w:rPr>
        <w:t xml:space="preserve">matched population</w:t>
      </w:r>
      <w:r>
        <w:t xml:space="preserve"> </w:t>
      </w:r>
      <w:r>
        <w:t xml:space="preserve">in which treated and untreated have the same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hence are exchangeable.</w:t>
      </w:r>
    </w:p>
    <w:p>
      <w:pPr>
        <w:pStyle w:val="Compact"/>
        <w:numPr>
          <w:ilvl w:val="0"/>
          <w:numId w:val="1010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0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association measures in the matched population consistently estimate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p>
      <w:pPr>
        <w:pStyle w:val="BodyText"/>
      </w:pPr>
      <w:r>
        <w:rPr>
          <w:b/>
          <w:bCs/>
        </w:rPr>
        <w:t xml:space="preserve">Bias-variance trade-off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criteria too loose: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differs between matched treated and untreated, so exchangeability fails;</w:t>
      </w:r>
    </w:p>
    <w:p>
      <w:pPr>
        <w:pStyle w:val="Compact"/>
        <w:numPr>
          <w:ilvl w:val="0"/>
          <w:numId w:val="1011"/>
        </w:numPr>
      </w:pPr>
      <w:r>
        <w:t xml:space="preserve">criteria too tight: many individuals are excluded;</w:t>
      </w:r>
      <w:r>
        <w:t xml:space="preserve"> </w:t>
      </w:r>
      <w:r>
        <w:t xml:space="preserve">approximate exchangeability, but wider confidence intervals.</w:t>
      </w:r>
    </w:p>
    <w:p>
      <w:r>
        <w:pict>
          <v:rect style="width:0;height:1.5pt" o:hralign="center" o:hrstd="t" o:hr="t"/>
        </w:pict>
      </w:r>
    </w:p>
    <w:bookmarkEnd w:id="32"/>
    <w:bookmarkStart w:id="33" w:name="matching-and-positivity"/>
    <w:p>
      <w:pPr>
        <w:pStyle w:val="Heading3"/>
      </w:pPr>
      <w:r>
        <w:t xml:space="preserve">4.2 Matching and Positivity</w:t>
      </w:r>
    </w:p>
    <w:p>
      <w:pPr>
        <w:pStyle w:val="Compact"/>
        <w:numPr>
          <w:ilvl w:val="0"/>
          <w:numId w:val="1012"/>
        </w:numPr>
      </w:pPr>
      <w:r>
        <w:t xml:space="preserve">In NHEFS,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distributions overlapped over most of the range;</w:t>
      </w:r>
      <w:r>
        <w:t xml:space="preserve"> </w:t>
      </w:r>
      <w:r>
        <w:t xml:space="preserve">only 2 treated individuals had values above those of every untreated individual.</w:t>
      </w:r>
    </w:p>
    <w:p>
      <w:pPr>
        <w:pStyle w:val="Compact"/>
        <w:numPr>
          <w:ilvl w:val="0"/>
          <w:numId w:val="1012"/>
        </w:numPr>
      </w:pPr>
      <w:r>
        <w:t xml:space="preserve">Outcome regression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 15.3) kept them, implicitly treating the lack of comparable untreated individuals as</w:t>
      </w:r>
      <w:r>
        <w:t xml:space="preserve"> </w:t>
      </w:r>
      <w:r>
        <w:rPr>
          <w:b/>
          <w:bCs/>
        </w:rPr>
        <w:t xml:space="preserve">random nonpositivity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matched analyses would drop them.</w:t>
      </w:r>
      <w:r>
        <w:t xml:space="preserve"> </w:t>
      </w:r>
      <w:r>
        <w:t xml:space="preserve">Matching does not distinguish random from structural nonpositivity.</w:t>
      </w:r>
    </w:p>
    <w:p>
      <w:pPr>
        <w:pStyle w:val="FirstParagraph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33"/>
    <w:bookmarkStart w:id="34" w:name="who-is-in-the-matched-population"/>
    <w:p>
      <w:pPr>
        <w:pStyle w:val="Heading3"/>
      </w:pPr>
      <w:r>
        <w:t xml:space="preserve">4.3 Who Is in the Matched Population?</w:t>
      </w:r>
    </w:p>
    <w:p>
      <w:pPr>
        <w:pStyle w:val="Compact"/>
        <w:numPr>
          <w:ilvl w:val="0"/>
          <w:numId w:val="1013"/>
        </w:numPr>
      </w:pPr>
      <w:r>
        <w:t xml:space="preserve">In theory, matching targets a well-characterized population: matching every treated individual and dropping unmatched untreated estimates the</w:t>
      </w:r>
      <w:r>
        <w:t xml:space="preserve"> </w:t>
      </w:r>
      <w:r>
        <w:rPr>
          <w:b/>
          <w:bCs/>
        </w:rPr>
        <w:t xml:space="preserve">effect in the treated</w:t>
      </w:r>
      <w:r>
        <w:t xml:space="preserve"> </w:t>
      </w:r>
      <w:r>
        <w:t xml:space="preserve">(Fine Point 15.2).</w:t>
      </w:r>
    </w:p>
    <w:p>
      <w:pPr>
        <w:pStyle w:val="Compact"/>
        <w:numPr>
          <w:ilvl w:val="0"/>
          <w:numId w:val="1013"/>
        </w:numPr>
      </w:pPr>
      <w:r>
        <w:t xml:space="preserve">In practice, treated individuals without a close match are excluded too, so the estimate refers to a subset defined by the values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that found matches.</w:t>
      </w:r>
    </w:p>
    <w:p>
      <w:pPr>
        <w:pStyle w:val="FirstParagraph"/>
      </w:pPr>
      <w:r>
        <w:t xml:space="preserve">Restricting to, say,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 </w:t>
      </w:r>
      <w:r>
        <w:t xml:space="preserve">yields a population that is hard to describe:</w:t>
      </w:r>
      <w:r>
        <w:t xml:space="preserve"> </w:t>
      </w:r>
      <w:r>
        <w:t xml:space="preserve">“individuals do not come with a propensity score tattooed on their forehead”</w:t>
      </w:r>
      <w:r>
        <w:t xml:space="preserve"> </w:t>
      </w:r>
      <w:r>
        <w:t xml:space="preserve">(Hernán and Robins 2020, 205)</w:t>
      </w:r>
      <w:r>
        <w:t xml:space="preserve">,</w:t>
      </w:r>
      <w:r>
        <w:t xml:space="preserve"> </w:t>
      </w:r>
      <w:r>
        <w:t xml:space="preserve">so transportability to other populations is hard to judge.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-on-real-world-variables-instead"/>
    <w:p>
      <w:pPr>
        <w:pStyle w:val="Heading3"/>
      </w:pPr>
      <w:r>
        <w:t xml:space="preserve">4.4 Restrict on Real-World Variables Instead</w:t>
      </w:r>
    </w:p>
    <w:p>
      <w:pPr>
        <w:pStyle w:val="FirstParagraph"/>
      </w:pPr>
      <w:r>
        <w:t xml:space="preserve">In NHEFS, the 2 treated individuals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r>
        <w:t xml:space="preserve"> </w:t>
      </w:r>
      <w:r>
        <w:t xml:space="preserve">were the only participants over age 50 who had smoked for fewer than 10 years.</w:t>
      </w:r>
      <w:r>
        <w:t xml:space="preserve"> </w:t>
      </w:r>
      <w:r>
        <w:t xml:space="preserve">Excluding them gives an estimate for</w:t>
      </w:r>
    </w:p>
    <w:p>
      <w:pPr>
        <w:pStyle w:val="Compact"/>
        <w:numPr>
          <w:ilvl w:val="0"/>
          <w:numId w:val="1014"/>
        </w:numPr>
      </w:pPr>
      <w:r>
        <w:t xml:space="preserve">smokers under 50, and</w:t>
      </w:r>
    </w:p>
    <w:p>
      <w:pPr>
        <w:pStyle w:val="Compact"/>
        <w:numPr>
          <w:ilvl w:val="0"/>
          <w:numId w:val="1014"/>
        </w:numPr>
      </w:pPr>
      <w:r>
        <w:t xml:space="preserve">smokers 50 and over who had smoked for at least 10 years,</w:t>
      </w:r>
    </w:p>
    <w:p>
      <w:pPr>
        <w:pStyle w:val="FirstParagraph"/>
      </w:pPr>
      <w:r>
        <w:t xml:space="preserve">which is a far more natural target population than</w:t>
      </w:r>
      <w:r>
        <w:t xml:space="preserve"> </w:t>
      </w:r>
      <w:r>
        <w:t xml:space="preserve">“estimated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”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pPr>
        <w:pStyle w:val="BodyText"/>
      </w:pPr>
      <w:r>
        <w:t xml:space="preserve">Using propensity scores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the region of overlap can be useful,</w:t>
      </w:r>
      <w:r>
        <w:t xml:space="preserve"> </w:t>
      </w:r>
      <w:r>
        <w:t xml:space="preserve">but restricting the study population to that region is a</w:t>
      </w:r>
      <w:r>
        <w:t xml:space="preserve"> </w:t>
      </w:r>
      <w:r>
        <w:t xml:space="preserve">“lazy”</w:t>
      </w:r>
      <w:r>
        <w:t xml:space="preserve"> </w:t>
      </w:r>
      <w:r>
        <w:t xml:space="preserve">way to secure positivity:</w:t>
      </w:r>
      <w:r>
        <w:t xml:space="preserve"> </w:t>
      </w:r>
      <w:r>
        <w:t xml:space="preserve">the automatic positivity of matching must be weighed against the difficulty of assessing transportability</w:t>
      </w:r>
      <w:r>
        <w:t xml:space="preserve"> </w:t>
      </w:r>
      <w:r>
        <w:t xml:space="preserve">(Hernán and Robins 2020, 205)</w:t>
      </w:r>
      <w:r>
        <w:t xml:space="preserve">.</w:t>
      </w:r>
      <w:r>
        <w:t xml:space="preserve"> </w:t>
      </w:r>
      <w:r>
        <w:t xml:space="preserve">Even if everyone’s propensity score were visible, the population could remain ill-characterized, because the same propensity score value can mean different things in different settings.</w:t>
      </w:r>
    </w:p>
    <w:bookmarkEnd w:id="35"/>
    <w:bookmarkEnd w:id="36"/>
    <w:bookmarkStart w:id="4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two-classes-of-structural-models"/>
    <w:p>
      <w:pPr>
        <w:pStyle w:val="Heading3"/>
      </w:pPr>
      <w:r>
        <w:t xml:space="preserve">5.1 Two Classes of Structural Models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Marginal structural models</w:t>
      </w:r>
      <w:r>
        <w:t xml:space="preserve">: parameters for treatment, for chosen effect modifiers</w:t>
      </w:r>
      <w:r>
        <w:t xml:space="preserve"> </w:t>
      </w:r>
      <m:oMath>
        <m:r>
          <m:t>V</m:t>
        </m:r>
      </m:oMath>
      <w:r>
        <w:t xml:space="preserve">,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product terms.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reflects only the investigator’s interest in effect modification (Section 12.5).</w:t>
      </w:r>
    </w:p>
    <w:p>
      <w:pPr>
        <w:pStyle w:val="Compact"/>
        <w:numPr>
          <w:ilvl w:val="1"/>
          <w:numId w:val="1017"/>
        </w:numPr>
      </w:pPr>
      <w:r>
        <w:t xml:space="preserve">No</w:t>
      </w:r>
      <w:r>
        <w:t xml:space="preserve"> </w:t>
      </w:r>
      <m:oMath>
        <m:r>
          <m:t>V</m:t>
        </m:r>
      </m:oMath>
      <w:r>
        <w:t xml:space="preserve">: truly marginal.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(all covariates): a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marginal structural model, which is what outcome regression (Section 15.1) estimates.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Structural nested models</w:t>
      </w:r>
      <w:r>
        <w:t xml:space="preserve">: parameters for treatment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for those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are effect modifiers.</w:t>
      </w:r>
    </w:p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r>
        <w:t xml:space="preserve">5.2 Causal Versus Predictive Uses of Outcome Regression</w:t>
      </w:r>
    </w:p>
    <w:p>
      <w:pPr>
        <w:pStyle w:val="FirstParagraph"/>
      </w:pPr>
      <w:r>
        <w:t xml:space="preserve">Outcome regression is also widely used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online retailers predicting who will buy;</w:t>
      </w:r>
    </w:p>
    <w:p>
      <w:pPr>
        <w:pStyle w:val="Compact"/>
        <w:numPr>
          <w:ilvl w:val="0"/>
          <w:numId w:val="1019"/>
        </w:numPr>
      </w:pPr>
      <w:r>
        <w:t xml:space="preserve">clinical algorithms identifying patients at high risk.</w:t>
      </w:r>
    </w:p>
    <w:p>
      <w:pPr>
        <w:pStyle w:val="FirstParagraph"/>
      </w:pPr>
      <w:r>
        <w:t xml:space="preserve">There, no variable is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and the parameters need not have any causal interpretation.</w:t>
      </w:r>
    </w:p>
    <w:p>
      <w:pPr>
        <w:pStyle w:val="BodyText"/>
      </w:pPr>
      <w:r>
        <w:t xml:space="preserve">Example from the book’s margin: Facebook Likes predict sexual orientation, political views, and personality traits (Kosinski et al. 2013, as cited in</w:t>
      </w:r>
      <w:r>
        <w:t xml:space="preserve"> </w:t>
      </w:r>
      <w:r>
        <w:t xml:space="preserve">Hernán and Robins (2020, 206)</w:t>
      </w:r>
      <w:r>
        <w:t xml:space="preserve">);</w:t>
      </w:r>
      <w:r>
        <w:t xml:space="preserve"> </w:t>
      </w:r>
      <w:r>
        <w:t xml:space="preserve">that is prediction, not necessarily causation.</w:t>
      </w:r>
    </w:p>
    <w:p>
      <w:r>
        <w:pict>
          <v:rect style="width:0;height:1.5pt" o:hralign="center" o:hrstd="t" o:hr="t"/>
        </w:pict>
      </w:r>
    </w:p>
    <w:bookmarkEnd w:id="41"/>
    <w:bookmarkStart w:id="43" w:name="X11c077b3ea3320e82c32939cbcc6f310e74a00f"/>
    <w:p>
      <w:pPr>
        <w:pStyle w:val="Heading3"/>
      </w:pPr>
      <w:r>
        <w:t xml:space="preserve">5.3 Variable Selection: Prediction Tools Misapplied</w:t>
      </w:r>
    </w:p>
    <w:p>
      <w:pPr>
        <w:pStyle w:val="FirstParagraph"/>
      </w:pPr>
      <w:r>
        <w:t xml:space="preserve">Forward selection, backward elimination, stepwise selection, and machine learning are built to</w:t>
      </w:r>
      <w:r>
        <w:t xml:space="preserve"> </w:t>
      </w:r>
      <w:r>
        <w:rPr>
          <w:b/>
          <w:bCs/>
        </w:rPr>
        <w:t xml:space="preserve">improve prediction</w:t>
      </w:r>
      <w:r>
        <w:t xml:space="preserve">.</w:t>
      </w:r>
      <w:r>
        <w:t xml:space="preserve"> </w:t>
      </w:r>
      <w:r>
        <w:t xml:space="preserve">Applied to propensity or structural models, they can add superfluous or harmful covariates, causing</w:t>
      </w:r>
    </w:p>
    <w:p>
      <w:pPr>
        <w:pStyle w:val="Compact"/>
        <w:numPr>
          <w:ilvl w:val="0"/>
          <w:numId w:val="1020"/>
        </w:numPr>
      </w:pPr>
      <w:r>
        <w:t xml:space="preserve">inflated variances, and</w:t>
      </w:r>
    </w:p>
    <w:p>
      <w:pPr>
        <w:pStyle w:val="Compact"/>
        <w:numPr>
          <w:ilvl w:val="0"/>
          <w:numId w:val="1020"/>
        </w:numPr>
      </w:pPr>
      <w:r>
        <w:t xml:space="preserve">greater bias.</w:t>
      </w:r>
    </w:p>
    <w:p>
      <w:pPr>
        <w:pStyle w:val="FirstParagraph"/>
      </w:pPr>
      <w:r>
        <w:t xml:space="preserve">The mistaken belief behind this: that a propensity model should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well as possible.</w:t>
      </w:r>
      <w:r>
        <w:t xml:space="preserve"> </w:t>
      </w:r>
      <w:r>
        <w:t xml:space="preserve">It need not; it only needs to include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guarantee exchangeability.</w:t>
      </w:r>
    </w:p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f44b93a9159b30b472d6c73719fdf994fdbee8"/>
    <w:p>
      <w:pPr>
        <w:pStyle w:val="Heading3"/>
      </w:pPr>
      <w:r>
        <w:t xml:space="preserve">5.4 Self-Inflicted Bias and Model Specification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can cause systematic bias, even though colliders may be good predictors.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(Chapter 16) can amplify bias from unmeasured confounders.</w:t>
      </w:r>
    </w:p>
    <w:p>
      <w:pPr>
        <w:pStyle w:val="Compact"/>
        <w:numPr>
          <w:ilvl w:val="0"/>
          <w:numId w:val="1022"/>
        </w:numPr>
      </w:pPr>
      <w:r>
        <w:t xml:space="preserve">Chapter 18 returns to these issues.</w:t>
      </w:r>
    </w:p>
    <w:p>
      <w:pPr>
        <w:pStyle w:val="FirstParagraph"/>
      </w:pPr>
      <w:r>
        <w:t xml:space="preserve">Both propensity and structural models require a correctly specified functional form for the covariates (flexible terms such as cubic splines help),</w:t>
      </w:r>
      <w:r>
        <w:t xml:space="preserve"> </w:t>
      </w:r>
      <w:r>
        <w:t xml:space="preserve">plus exchangeability, positivity, and well-defined interventions.</w:t>
      </w:r>
      <w:r>
        <w:t xml:space="preserve"> </w:t>
      </w:r>
      <w:r>
        <w:t xml:space="preserve">Chapter 16 presents a method that does not require exchangeability of treatment.</w:t>
      </w:r>
    </w:p>
    <w:bookmarkEnd w:id="44"/>
    <w:bookmarkEnd w:id="45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r>
        <w:t xml:space="preserve">NHEFS estimates of the effect of smoking cessation on weight gain (kg):</w:t>
      </w:r>
    </w:p>
    <w:p>
      <w:pPr>
        <w:pStyle w:val="Compact"/>
        <w:numPr>
          <w:ilvl w:val="0"/>
          <w:numId w:val="1023"/>
        </w:numPr>
      </w:pPr>
      <w:r>
        <w:t xml:space="preserve">outcome regression, no product terms: 3.5 (2.6, 4.3);</w:t>
      </w:r>
    </w:p>
    <w:p>
      <w:pPr>
        <w:pStyle w:val="Compact"/>
        <w:numPr>
          <w:ilvl w:val="0"/>
          <w:numId w:val="1023"/>
        </w:numPr>
      </w:pPr>
      <w:r>
        <w:t xml:space="preserve">propensity deciles, no product terms: 3.5 (2.6, 4.4);</w:t>
      </w:r>
    </w:p>
    <w:p>
      <w:pPr>
        <w:pStyle w:val="Compact"/>
        <w:numPr>
          <w:ilvl w:val="0"/>
          <w:numId w:val="1023"/>
        </w:numPr>
      </w:pPr>
      <w:r>
        <w:t xml:space="preserve">continuous propensity score: 3.6 (2.7, 4.5);</w:t>
      </w:r>
    </w:p>
    <w:p>
      <w:pPr>
        <w:pStyle w:val="Compact"/>
        <w:numPr>
          <w:ilvl w:val="0"/>
          <w:numId w:val="1023"/>
        </w:numPr>
      </w:pPr>
      <w:r>
        <w:t xml:space="preserve">standardized over the propensity score: 3.6 (2.7, 4.6).</w:t>
      </w:r>
    </w:p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Outcome regression and propensity score methods need the same identifying conditions as the g-methods, plus correct nuisance models.</w:t>
      </w:r>
    </w:p>
    <w:p>
      <w:pPr>
        <w:pStyle w:val="Compact"/>
        <w:numPr>
          <w:ilvl w:val="0"/>
          <w:numId w:val="1024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4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4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4"/>
        </w:numPr>
      </w:pPr>
      <w:r>
        <w:t xml:space="preserve">Unlike the g-methods, these methods do not extend readily to time-varying treatments (Part III).</w: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4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2026-10-02T17:39:41Z</dcterms:created>
  <dcterms:modified xsi:type="dcterms:W3CDTF">2026-10-02T17:39:41Z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