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 </w:t>
      </w:r>
      <w:r>
        <w:t xml:space="preserve">or the risk difference</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num>
                  <m:den>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r>
                      <m:t>​</m:t>
                    </m:r>
                  </m:den>
                </m:f>
                <m:r>
                  <m:rPr>
                    <m:sty m:val="p"/>
                  </m:rPr>
                  <m:t>=</m:t>
                </m:r>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m:t>
                    </m:r>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m:t>
                    </m:r>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m:t>
                    </m:r>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e>
                    </m:d>
                    <m:r>
                      <m:t>​</m:t>
                    </m:r>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r>
                <m:rPr>
                  <m:sty m:val="p"/>
                </m:rPr>
                <m:t>=</m:t>
              </m:r>
              <m:r>
                <m:t>π</m:t>
              </m:r>
              <m:r>
                <m:rPr>
                  <m:sty m:val="p"/>
                </m:rPr>
                <m:t>(</m:t>
              </m:r>
              <m:r>
                <m:t>a</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2026-10-19T16:55:28Z</dcterms:created>
  <dcterms:modified xsi:type="dcterms:W3CDTF">2026-10-19T16:55:28Z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