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6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r>
        <w:t xml:space="preserve">The treatment strategies are</w:t>
      </w:r>
      <w:r>
        <w:t xml:space="preserve"> </w:t>
      </w:r>
      <w:r>
        <w:rPr>
          <w:b/>
          <w:bCs/>
        </w:rPr>
        <w:t xml:space="preserve">sustained strategies</w:t>
      </w:r>
      <w:r>
        <w:t xml:space="preserve">:</w:t>
      </w:r>
      <w:r>
        <w:t xml:space="preserve"> </w:t>
      </w:r>
      <w:r>
        <w:t xml:space="preserve">they specify a sequence of treatment decisions over the follow-up period,</w:t>
      </w:r>
      <w:r>
        <w:t xml:space="preserve"> </w:t>
      </w:r>
      <w:r>
        <w:t xml:space="preserve">not just a single decision at baseline.</w:t>
      </w:r>
      <w:r>
        <w:t xml:space="preserve"> </w:t>
      </w:r>
      <w:r>
        <w:t xml:space="preserve">Strategy 1 is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);</w:t>
      </w:r>
      <w:r>
        <w:t xml:space="preserve"> </w:t>
      </w:r>
      <w:r>
        <w:t xml:space="preserve">strategy 2 is the dynamic strategy</w:t>
      </w:r>
      <w:r>
        <w:t xml:space="preserve"> </w:t>
      </w:r>
      <w:r>
        <w:t xml:space="preserve">“do not treat until CD4 &lt; 350, then treat.”</w:t>
      </w:r>
    </w:p>
    <w:bookmarkStart w:id="15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5"/>
    <w:bookmarkEnd w:id="16"/>
    <w:bookmarkStart w:id="19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7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7"/>
    <w:bookmarkStart w:id="18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8"/>
    <w:bookmarkEnd w:id="19"/>
    <w:bookmarkStart w:id="24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0"/>
        </w:tc>
      </w:tr>
    </w:tbl>
    <w:bookmarkStart w:id="22" w:name="immortal-time-bias"/>
    <w:p>
      <w:pPr>
        <w:pStyle w:val="Heading3"/>
      </w:pPr>
      <w:r>
        <w:t xml:space="preserve">4.1 Immortal Time Bias</w:t>
      </w:r>
    </w:p>
    <w:p>
      <w:pPr>
        <w:pStyle w:val="FirstParagraph"/>
      </w:pPr>
      <w:r>
        <w:rPr>
          <w:b/>
          <w:bCs/>
        </w:rPr>
        <w:t xml:space="preserve">Immortal time bias</w:t>
      </w:r>
      <w:r>
        <w:t xml:space="preserve"> </w:t>
      </w:r>
      <w:r>
        <w:t xml:space="preserve">arises when there is a period of follow-up before time zero</w:t>
      </w:r>
      <w:r>
        <w:t xml:space="preserve"> </w:t>
      </w:r>
      <w:r>
        <w:t xml:space="preserve">during which individuals cannot experience the outcome by design</w:t>
      </w:r>
      <w:r>
        <w:t xml:space="preserve"> </w:t>
      </w:r>
      <w:r>
        <w:t xml:space="preserve">(because they must survive to meet the eligibility criterion or to be</w:t>
      </w:r>
      <w:r>
        <w:t xml:space="preserve"> </w:t>
      </w:r>
      <w:r>
        <w:t xml:space="preserve">“assigned”</w:t>
      </w:r>
      <w:r>
        <w:t xml:space="preserve">).</w:t>
      </w:r>
      <w:r>
        <w:t xml:space="preserve"> </w:t>
      </w:r>
      <w:r>
        <w:t xml:space="preserve">If this immortal time is misclassified — for example, attributed to the treated group</w:t>
      </w:r>
      <w:r>
        <w:t xml:space="preserve"> </w:t>
      </w:r>
      <w:r>
        <w:t xml:space="preserve">when it actually preceded treatment initiation — the treated group appears to have</w:t>
      </w:r>
      <w:r>
        <w:t xml:space="preserve"> </w:t>
      </w:r>
      <w:r>
        <w:t xml:space="preserve">better outcomes simply because they could not have died during the immortal period.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1"/>
        </w:tc>
      </w:tr>
    </w:tbl>
    <w:bookmarkEnd w:id="22"/>
    <w:bookmarkStart w:id="23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r>
        <w:t xml:space="preserve">One practical approach to correct time zero assignment in observational databases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design:</w:t>
      </w:r>
      <w:r>
        <w:t xml:space="preserve"> </w:t>
      </w:r>
      <w:r>
        <w:t xml:space="preserve">for each calendar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which individuals satisfy the eligibility criteria,</w:t>
      </w:r>
      <w:r>
        <w:t xml:space="preserve"> </w:t>
      </w:r>
      <w:r>
        <w:t xml:space="preserve">we create a separate</w:t>
      </w:r>
      <w:r>
        <w:t xml:space="preserve"> </w:t>
      </w:r>
      <w:r>
        <w:t xml:space="preserve">“trial”</w:t>
      </w:r>
      <w:r>
        <w:t xml:space="preserve"> </w:t>
      </w:r>
      <w:r>
        <w:t xml:space="preserve">with time zero at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Individuals can appear in multiple such trials (each with a different time zero)</w:t>
      </w:r>
      <w:r>
        <w:t xml:space="preserve"> </w:t>
      </w:r>
      <w:r>
        <w:t xml:space="preserve">and their data are then pooled across all trials with appropriate adjustment</w:t>
      </w:r>
      <w:r>
        <w:t xml:space="preserve"> </w:t>
      </w:r>
      <w:r>
        <w:t xml:space="preserve">for the time-varying covariates at each trial’s time zero.</w:t>
      </w:r>
    </w:p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3"/>
    <w:bookmarkEnd w:id="24"/>
    <w:bookmarkStart w:id="27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5"/>
        </w:tc>
      </w:tr>
    </w:tbl>
    <w:bookmarkStart w:id="26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2026-10-02T00:48:22Z</dcterms:created>
  <dcterms:modified xsi:type="dcterms:W3CDTF">2026-10-02T00:48:22Z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