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5.png" ContentType="image/png"/>
  <Override PartName="/word/media/rId41.png" ContentType="image/png"/>
  <Override PartName="/word/media/rId2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13: Standardization and the Parametric G-Formula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This chapter estimates the same causal effect as Chapter 12 (smoking cessation on weight gain in NHEFS) by</w:t>
      </w:r>
      <w:r>
        <w:t xml:space="preserve"> </w:t>
      </w:r>
      <w:r>
        <w:rPr>
          <w:b/>
          <w:bCs/>
        </w:rPr>
        <w:t xml:space="preserve">standardization</w:t>
      </w:r>
      <w:r>
        <w:t xml:space="preserve">, now combined with outcome models: the</w:t>
      </w:r>
      <w:r>
        <w:t xml:space="preserve"> </w:t>
      </w:r>
      <w:r>
        <w:rPr>
          <w:b/>
          <w:bCs/>
        </w:rPr>
        <w:t xml:space="preserve">parametric g-formula</w:t>
      </w:r>
      <w:r>
        <w:t xml:space="preserve">.</w:t>
      </w:r>
      <w:r>
        <w:t xml:space="preserve"> </w:t>
      </w:r>
      <w:r>
        <w:t xml:space="preserve">IP weighting models the treatment (and censoring);</w:t>
      </w:r>
      <w:r>
        <w:t xml:space="preserve"> </w:t>
      </w:r>
      <w:r>
        <w:t xml:space="preserve">standardization models the outcome.</w:t>
      </w:r>
      <w:r>
        <w:t xml:space="preserve"> </w:t>
      </w:r>
      <w:r>
        <w:t xml:space="preserve">Both rely on the same identifiability conditions but on different modeling assumptions.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13, pp. 175-185)</w:t>
      </w:r>
      <w:r>
        <w:t xml:space="preserve">.</w:t>
      </w:r>
    </w:p>
    <w:p>
      <w:pPr>
        <w:pStyle w:val="BodyText"/>
      </w:pPr>
      <w:r>
        <w:t xml:space="preserve">R and Stata code for this chapter’s programs (Programs 13.x) is in Tom Palmer’s</w:t>
      </w:r>
      <w:r>
        <w:t xml:space="preserve"> </w:t>
      </w:r>
      <w:hyperlink r:id="rId9">
        <w:r>
          <w:rPr>
            <w:rStyle w:val="Hyperlink"/>
          </w:rPr>
          <w:t xml:space="preserve">cibookex-r</w:t>
        </w:r>
      </w:hyperlink>
      <w:r>
        <w:t xml:space="preserve"> </w:t>
      </w:r>
      <w:r>
        <w:t xml:space="preserve">companion (GPL-3.0),</w:t>
      </w:r>
      <w:r>
        <w:t xml:space="preserve"> </w:t>
      </w:r>
      <w:r>
        <w:t xml:space="preserve">which descends from the authors’ own code.</w:t>
      </w:r>
    </w:p>
    <w:p>
      <w:pPr>
        <w:pStyle w:val="BodyText"/>
      </w:pPr>
      <w:r>
        <w:t xml:space="preserve">Chapter 2 introduced standardization only as a nonparametric method.</w:t>
      </w:r>
      <w:r>
        <w:t xml:space="preserve"> </w:t>
      </w:r>
      <w:r>
        <w:t xml:space="preserve">Combining it with models lets us handle many covariates and nondichotomous treatments.</w:t>
      </w:r>
    </w:p>
    <w:p>
      <w:pPr>
        <w:pStyle w:val="BodyText"/>
      </w:pPr>
      <w:r>
        <w:rPr>
          <w:b/>
          <w:bCs/>
        </w:rPr>
        <w:t xml:space="preserve">Key insight</w:t>
      </w:r>
      <w:r>
        <w:t xml:space="preserve">: IP weighting needs a correct model for treatment (and censoring) given</w:t>
      </w:r>
      <w:r>
        <w:t xml:space="preserve"> </w:t>
      </w:r>
      <m:oMath>
        <m:r>
          <m:t>L</m:t>
        </m:r>
      </m:oMath>
      <w:r>
        <w:t xml:space="preserve">;</w:t>
      </w:r>
      <w:r>
        <w:t xml:space="preserve"> </w:t>
      </w:r>
      <w:r>
        <w:t xml:space="preserve">the parametric g-formula needs a correct model for the outcome given treatment and</w:t>
      </w:r>
      <w:r>
        <w:t xml:space="preserve"> </w:t>
      </w:r>
      <m:oMath>
        <m:r>
          <m:t>L</m:t>
        </m:r>
      </m:oMath>
      <w:r>
        <w:t xml:space="preserve">.</w:t>
      </w:r>
      <w:r>
        <w:t xml:space="preserve"> </w:t>
      </w:r>
      <w:r>
        <w:t xml:space="preserve">Neither is doubly robust on its own.</w:t>
      </w:r>
      <w:r>
        <w:t xml:space="preserve"> </w:t>
      </w:r>
      <w:r>
        <w:t xml:space="preserve">Doubly robust estimators (Section 13.4) combine the two models and are consistent if</w:t>
      </w:r>
      <w:r>
        <w:t xml:space="preserve"> </w:t>
      </w:r>
      <w:r>
        <w:rPr>
          <w:i/>
          <w:iCs/>
        </w:rPr>
        <w:t xml:space="preserve">either</w:t>
      </w:r>
      <w:r>
        <w:t xml:space="preserve"> </w:t>
      </w:r>
      <w:r>
        <w:t xml:space="preserve">one is correct.</w:t>
      </w:r>
    </w:p>
    <w:bookmarkStart w:id="19" w:name="X2cec6a821e9ecdc281fd9ccd7d7e50662dc8b28"/>
    <w:p>
      <w:pPr>
        <w:pStyle w:val="Heading2"/>
      </w:pPr>
      <w:r>
        <w:t xml:space="preserve">1 13.1 Standardization as an Alternative to IP Weighting (pp. 175-177)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" w:name="rem-nhefs-target-effect"/>
          <w:p>
            <w:pPr>
              <w:pStyle w:val="BodyText"/>
            </w:pPr>
            <w:r>
              <w:rPr>
                <w:i/>
                <w:iCs/>
              </w:rPr>
              <w:t xml:space="preserve">Remark 1</w:t>
            </w:r>
            <w:r>
              <w:t xml:space="preserve"> (NHEFS: Setting and Target Effect). </w:t>
            </w:r>
            <w:r>
              <w:rPr>
                <w:b/>
                <w:bCs/>
              </w:rPr>
              <w:t xml:space="preserve">Setting</w:t>
            </w:r>
            <w:r>
              <w:t xml:space="preserve"> </w:t>
            </w:r>
            <w:r>
              <w:t xml:space="preserve">(same as Chapter 12):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NHEFS: 1629 cigarette smokers aged 25-74 with a baseline visit and a follow-up visit about 10 years later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1566 had weight measured at follow-up, i.e., are uncensored (</w:t>
            </w:r>
            <m:oMath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Treatment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: smoking cessation (1: yes, 0: no); outcome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: weight gain (kg)</w:t>
            </w:r>
          </w:p>
          <w:p>
            <w:pPr>
              <w:pStyle w:val="FirstParagraph"/>
            </w:pPr>
            <w:r>
              <w:rPr>
                <w:b/>
                <w:bCs/>
              </w:rPr>
              <w:t xml:space="preserve">Causal effect of interest</w:t>
            </w:r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−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</m:e>
                </m:d>
              </m:oMath>
            </m:oMathPara>
          </w:p>
          <w:p>
            <w:pPr>
              <w:pStyle w:val="FirstParagraph"/>
            </w:pPr>
            <w:r>
              <w:t xml:space="preserve">the difference in mean weight gain had everybody been treated and uncensored versus untreated and uncensored.</w:t>
            </w:r>
          </w:p>
          <w:bookmarkEnd w:id="10"/>
        </w:tc>
      </w:tr>
    </w:tbl>
    <w:p>
      <w:pPr>
        <w:pStyle w:val="BodyText"/>
      </w:pPr>
      <w:r>
        <w:t xml:space="preserve">Quitters and non-quitters differ in the distribution of predictors of weight gain (Table 12.1), so the associational difference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rPr>
            <m:sty m:val="p"/>
          </m:rPr>
          <m:t>=</m:t>
        </m:r>
        <m:r>
          <m:t>2.5</m:t>
        </m:r>
      </m:oMath>
      <w:r>
        <w:t xml:space="preserve"> </w:t>
      </w:r>
      <w:r>
        <w:t xml:space="preserve">kg is not expected to equal the causal difference.</w:t>
      </w:r>
    </w:p>
    <w:p>
      <w:pPr>
        <w:pStyle w:val="BodyText"/>
      </w:pPr>
      <w:r>
        <w:t xml:space="preserve">As in Chapter 12, we assume that the 9 baseline variables in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suffice to adjust for both confounding and selection bias:</w:t>
      </w:r>
    </w:p>
    <w:p>
      <w:pPr>
        <w:pStyle w:val="Compact"/>
        <w:numPr>
          <w:ilvl w:val="0"/>
          <w:numId w:val="1002"/>
        </w:numPr>
      </w:pPr>
      <w:r>
        <w:t xml:space="preserve">sex (0: male, 1: female), age (years), race (0: white, 1: other)</w:t>
      </w:r>
    </w:p>
    <w:p>
      <w:pPr>
        <w:pStyle w:val="Compact"/>
        <w:numPr>
          <w:ilvl w:val="0"/>
          <w:numId w:val="1002"/>
        </w:numPr>
      </w:pPr>
      <w:r>
        <w:t xml:space="preserve">education (5 categories)</w:t>
      </w:r>
    </w:p>
    <w:p>
      <w:pPr>
        <w:pStyle w:val="Compact"/>
        <w:numPr>
          <w:ilvl w:val="0"/>
          <w:numId w:val="1002"/>
        </w:numPr>
      </w:pPr>
      <w:r>
        <w:t xml:space="preserve">intensity and duration of smoking (cigarettes per day; years of smoking)</w:t>
      </w:r>
    </w:p>
    <w:p>
      <w:pPr>
        <w:pStyle w:val="Compact"/>
        <w:numPr>
          <w:ilvl w:val="0"/>
          <w:numId w:val="1002"/>
        </w:numPr>
      </w:pPr>
      <w:r>
        <w:t xml:space="preserve">physical activity in daily life (3 categories), recreational exercise (3 categories)</w:t>
      </w:r>
    </w:p>
    <w:p>
      <w:pPr>
        <w:pStyle w:val="Compact"/>
        <w:numPr>
          <w:ilvl w:val="0"/>
          <w:numId w:val="1002"/>
        </w:numPr>
      </w:pPr>
      <w:r>
        <w:t xml:space="preserve">weight (kg)</w:t>
      </w:r>
    </w:p>
    <w:p>
      <w:pPr>
        <w:pStyle w:val="FirstParagraph"/>
      </w:pPr>
      <w:r>
        <w:t xml:space="preserve">We also assume, as in Chapter 12, that the components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needed to adjust for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are not affected by</w:t>
      </w:r>
      <w:r>
        <w:t xml:space="preserve"> </w:t>
      </w:r>
      <m:oMath>
        <m:r>
          <m:t>A</m:t>
        </m:r>
      </m:oMath>
      <w:r>
        <w:t xml:space="preserve">;</w:t>
      </w:r>
      <w:r>
        <w:t xml:space="preserve"> </w:t>
      </w:r>
      <w:r>
        <w:t xml:space="preserve">otherwise the methods of Part III would be needed.</w:t>
      </w:r>
    </w:p>
    <w:p>
      <w:pPr>
        <w:pStyle w:val="BodyText"/>
      </w:pPr>
      <w:r>
        <w:t xml:space="preserve">IP weighting estimates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,</m:t>
                </m:r>
                <m:r>
                  <m:t>c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 </w:t>
      </w:r>
      <w:r>
        <w:t xml:space="preserve">as the mean outcome in a pseudo-population where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balanced between treatment groups;</w:t>
      </w:r>
      <w:r>
        <w:t xml:space="preserve"> </w:t>
      </w:r>
      <w:r>
        <w:t xml:space="preserve">it requires modeling the joint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]</m:t>
        </m:r>
      </m:oMath>
      <w:r>
        <w:t xml:space="preserve">.</w:t>
      </w:r>
    </w:p>
    <w:bookmarkStart w:id="13" w:name="the-standardized-mean"/>
    <w:p>
      <w:pPr>
        <w:pStyle w:val="Heading3"/>
      </w:pPr>
      <w:r>
        <w:t xml:space="preserve">1.1 The Standardized Mean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1" w:name="def-standardization"/>
          <w:p>
            <w:pPr>
              <w:pStyle w:val="BodyText"/>
            </w:pPr>
            <w:r>
              <w:rPr>
                <w:b/>
                <w:bCs/>
              </w:rPr>
              <w:t xml:space="preserve">Definition 1 (Standardized mean)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standardized mean</w:t>
            </w:r>
            <w:r>
              <w:t xml:space="preserve"> </w:t>
            </w:r>
            <w:r>
              <w:t xml:space="preserve">outcome in the uncensored who received treatment level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l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nor/>
                        <m:sty m:val="p"/>
                      </m:rPr>
                      <m:t>E</m:t>
                    </m:r>
                  </m:e>
                </m:nary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C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L</m:t>
                    </m:r>
                    <m:r>
                      <m:rPr>
                        <m:sty m:val="p"/>
                      </m:rPr>
                      <m:t>=</m:t>
                    </m:r>
                    <m:r>
                      <m:t>l</m:t>
                    </m:r>
                  </m:e>
                </m:d>
                <m:r>
                  <m:rPr>
                    <m:sty m:val="p"/>
                  </m:rPr>
                  <m:t>×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L</m:t>
                </m:r>
                <m:r>
                  <m:rPr>
                    <m:sty m:val="p"/>
                  </m:rPr>
                  <m:t>=</m:t>
                </m:r>
                <m:r>
                  <m:t>l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the average of the stratum-specific means, weighted by the prevalence of each stratum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in the study population.</w:t>
            </w:r>
            <w:r>
              <w:t xml:space="preserve"> </w:t>
            </w:r>
            <w:r>
              <w:t xml:space="preserve">When some components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are continuous,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is replaced by the density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 the sum becomes an integral,</w:t>
            </w:r>
            <w:r>
              <w:t xml:space="preserve"> </w:t>
            </w:r>
            <m:oMath>
              <m:r>
                <m:rPr>
                  <m:sty m:val="p"/>
                </m:rPr>
                <m:t>∫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</m:e>
              </m:d>
              <m:r>
                <m:t> </m:t>
              </m:r>
              <m:r>
                <m:t>d</m:t>
              </m:r>
              <m:sSub>
                <m:e>
                  <m:r>
                    <m:t>F</m:t>
                  </m:r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, where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L</m:t>
                  </m:r>
                </m:sub>
              </m:sSub>
            </m:oMath>
            <w:r>
              <w:t xml:space="preserve"> </w:t>
            </w:r>
            <w:r>
              <w:t xml:space="preserve">is the joint cdf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</w:p>
          <w:bookmarkEnd w:id="11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2" w:name="thm-standardized-mean-identifies"/>
          <w:p>
            <w:pPr>
              <w:pStyle w:val="BodyText"/>
            </w:pPr>
            <w:r>
              <w:rPr>
                <w:b/>
                <w:bCs/>
              </w:rPr>
              <w:t xml:space="preserve">Theorem 1 (Standardization identifies the counterfactual mean)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be discrete.</w:t>
            </w:r>
            <w:r>
              <w:t xml:space="preserve"> </w:t>
            </w:r>
            <w:r>
              <w:t xml:space="preserve">Under exchangeability and positivity given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(plus consistency), the standardized mean of</w:t>
            </w:r>
            <w:r>
              <w:t xml:space="preserve"> </w:t>
            </w:r>
            <w:hyperlink w:anchor="def-standardization">
              <w:r>
                <w:rPr>
                  <w:rStyle w:val="Hyperlink"/>
                </w:rPr>
                <w:t xml:space="preserve">Definition 1</w:t>
              </w:r>
            </w:hyperlink>
            <w:r>
              <w:t xml:space="preserve"> </w:t>
            </w:r>
            <w:r>
              <w:t xml:space="preserve">equals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e>
              </m:d>
            </m:oMath>
            <w:r>
              <w:t xml:space="preserve"> </w:t>
            </w:r>
            <w:r>
              <w:t xml:space="preserve">for each treatment level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</w:p>
          <w:bookmarkEnd w:id="12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For discrete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(Technical Point 2.3 of the book, with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</m:oMath>
            <w:r>
              <w:t xml:space="preserve"> </w:t>
            </w:r>
            <w:r>
              <w:t xml:space="preserve">replaced by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c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l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nary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c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l</m:t>
                        </m:r>
                      </m:e>
                    </m:d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L</m:t>
                    </m:r>
                    <m:r>
                      <m:rPr>
                        <m:sty m:val="p"/>
                      </m:rPr>
                      <m:t>=</m:t>
                    </m:r>
                    <m:r>
                      <m:t>l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(law of total expectation)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l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nary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c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l</m:t>
                        </m:r>
                      </m:e>
                    </m:d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L</m:t>
                    </m:r>
                    <m:r>
                      <m:rPr>
                        <m:sty m:val="p"/>
                      </m:rPr>
                      <m:t>=</m:t>
                    </m:r>
                    <m:r>
                      <m:t>l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(exchangeability given </m:t>
                    </m:r>
                    <m:r>
                      <m:t>L</m:t>
                    </m:r>
                    <m:r>
                      <m:rPr>
                        <m:nor/>
                        <m:sty m:val="p"/>
                      </m:rPr>
                      <m:t>; positivity)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l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nary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l</m:t>
                        </m:r>
                      </m:e>
                    </m:d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L</m:t>
                    </m:r>
                    <m:r>
                      <m:rPr>
                        <m:sty m:val="p"/>
                      </m:rPr>
                      <m:t>=</m:t>
                    </m:r>
                    <m:r>
                      <m:t>l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(consistency)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Positivity is needed in the second line so that the conditional mean given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defined for every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The same argument, with sums replaced by integrals, covers continuous components of</w:t>
      </w:r>
      <w:r>
        <w:t xml:space="preserve"> </w:t>
      </w:r>
      <m:oMath>
        <m:r>
          <m:t>L</m:t>
        </m:r>
      </m:oMath>
      <w:r>
        <w:t xml:space="preserve">.</w:t>
      </w:r>
      <w:r>
        <w:t xml:space="preserve"> </w:t>
      </w:r>
      <w:r>
        <w:t xml:space="preserve">So a consistent estimator of the standardized mean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consistently estimates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c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, and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consistently estimates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c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.</w:t>
      </w:r>
    </w:p>
    <w:bookmarkEnd w:id="13"/>
    <w:bookmarkStart w:id="18" w:name="supplement-standardizing-to-the-treated"/>
    <w:p>
      <w:pPr>
        <w:pStyle w:val="Heading3"/>
      </w:pPr>
      <w:r>
        <w:t xml:space="preserve">1.2 Supplement: Standardizing to the Treated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4" w:name="rem-standardize-to-treated"/>
          <w:p>
            <w:pPr>
              <w:pStyle w:val="BodyText"/>
            </w:pPr>
            <w:r>
              <w:rPr>
                <w:i/>
                <w:iCs/>
              </w:rPr>
              <w:t xml:space="preserve">Remark 2</w:t>
            </w:r>
            <w:r>
              <w:t xml:space="preserve"> (Standardizing to the treated). </w:t>
            </w:r>
            <w:r>
              <w:t xml:space="preserve">The average causal effect</w:t>
            </w:r>
            <w:r>
              <w:t xml:space="preserve"> </w:t>
            </w:r>
            <w:r>
              <w:rPr>
                <w:b/>
                <w:bCs/>
              </w:rPr>
              <w:t xml:space="preserve">in the treated</w:t>
            </w:r>
            <w:r>
              <w:t xml:space="preserve"> </w:t>
            </w:r>
            <w:r>
              <w:t xml:space="preserve">can also be estimated by standardization (book’s Technical Point 4.1): replace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by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def-standardization">
              <w:r>
                <w:rPr>
                  <w:rStyle w:val="Hyperlink"/>
                </w:rPr>
                <w:t xml:space="preserve">Definition 1</w:t>
              </w:r>
            </w:hyperlink>
            <w:r>
              <w:t xml:space="preserve">.</w:t>
            </w:r>
          </w:p>
          <w:bookmarkEnd w:id="14"/>
        </w:tc>
      </w:tr>
    </w:tbl>
    <w:p>
      <w:pPr>
        <w:pStyle w:val="BodyText"/>
      </w:pPr>
      <w:r>
        <w:t xml:space="preserve">More generally, the stratum-specific means can be standardized to any distribution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(the treated, the untreated, an external population).</w:t>
      </w:r>
      <w:r>
        <w:t xml:space="preserve"> </w:t>
      </w:r>
      <w:r>
        <w:t xml:space="preserve">The choice defines the target population of the causal effect.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13.1: Structural Positivity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Positivity is needed for standardization too: if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while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, then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</m:e>
              </m:d>
            </m:oMath>
            <w:r>
              <w:t xml:space="preserve"> </w:t>
            </w:r>
            <w:r>
              <w:t xml:space="preserve">is undefined.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With a parametric outcome model, one</w:t>
            </w:r>
            <w:r>
              <w:t xml:space="preserve"> </w:t>
            </w:r>
            <w:r>
              <w:rPr>
                <w:i/>
                <w:iCs/>
              </w:rPr>
              <w:t xml:space="preserve">can</w:t>
            </w:r>
            <w:r>
              <w:t xml:space="preserve"> </w:t>
            </w:r>
            <w:r>
              <w:t xml:space="preserve">ignore structural nonpositivity by</w:t>
            </w:r>
            <w:r>
              <w:t xml:space="preserve"> </w:t>
            </w:r>
            <w:r>
              <w:rPr>
                <w:b/>
                <w:bCs/>
              </w:rPr>
              <w:t xml:space="preserve">extrapolating</w:t>
            </w:r>
            <w:r>
              <w:t xml:space="preserve"> </w:t>
            </w:r>
            <w:r>
              <w:t xml:space="preserve">over the empty strata, at the cost of bias (95% confidence intervals then cover the truth less than 95% of the time).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Near positivity violations, standardization typically has a smaller standard error than IP weighting, but differences in bias may outweigh differences in standard error.</w:t>
            </w:r>
          </w:p>
          <w:p>
            <w:pPr>
              <w:pStyle w:val="FirstParagraph"/>
            </w:pPr>
            <w:r>
              <w:t xml:space="preserve">Hernán and Robins (2020, Fine Point 13.1, p. 176)</w:t>
            </w:r>
            <w:r>
              <w:t xml:space="preserve"> </w:t>
            </w:r>
            <w:r>
              <w:t xml:space="preserve">stresses the different role of modeling here: we model not because data are scarce but to estimate a quantity that is not identified even with infinite data, because of structural nonpositivity.</w:t>
            </w:r>
          </w:p>
          <w:p/>
        </w:tc>
      </w:tr>
    </w:tbl>
    <w:bookmarkEnd w:id="18"/>
    <w:bookmarkEnd w:id="19"/>
    <w:bookmarkStart w:id="27" w:name="Xab07973db4076fb2de6935bdac4b3c234d2dd59"/>
    <w:p>
      <w:pPr>
        <w:pStyle w:val="Heading2"/>
      </w:pPr>
      <w:r>
        <w:t xml:space="preserve">2 13.2 Estimating the Mean Outcome via Modeling (pp. 177-178)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0" w:name="rem-why-outcome-model"/>
          <w:p>
            <w:pPr>
              <w:pStyle w:val="BodyText"/>
            </w:pPr>
            <w:r>
              <w:rPr>
                <w:i/>
                <w:iCs/>
              </w:rPr>
              <w:t xml:space="preserve">Remark 3</w:t>
            </w:r>
            <w:r>
              <w:t xml:space="preserve"> (Why we model the outcome). </w:t>
            </w:r>
            <w:r>
              <w:rPr>
                <w:b/>
                <w:bCs/>
              </w:rPr>
              <w:t xml:space="preserve">Problem</w:t>
            </w:r>
            <w:r>
              <w:t xml:space="preserve">: nonparametric estimation of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</m:e>
              </m:d>
            </m:oMath>
            <w:r>
              <w:t xml:space="preserve"> </w:t>
            </w:r>
            <w:r>
              <w:t xml:space="preserve">(as in Section 2.3) is out of the question.</w:t>
            </w:r>
            <w:r>
              <w:t xml:space="preserve"> </w:t>
            </w:r>
            <w:r>
              <w:t xml:space="preserve">Only 403 uncensored treated individuals are spread across possibly millions of strata of the 9 confounders.</w:t>
            </w:r>
            <w:r>
              <w:t xml:space="preserve"> </w:t>
            </w:r>
            <w:r>
              <w:t xml:space="preserve">Same for the untreated.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Solution</w:t>
            </w:r>
            <w:r>
              <w:t xml:space="preserve">: fit a parametric model for the mean outcome.</w:t>
            </w:r>
          </w:p>
          <w:bookmarkEnd w:id="20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1" w:name="exm-nhefs-outcome-model"/>
          <w:p>
            <w:pPr>
              <w:pStyle w:val="BodyText"/>
            </w:pPr>
            <w:r>
              <w:rPr>
                <w:b/>
                <w:bCs/>
              </w:rPr>
              <w:t xml:space="preserve">Example 1 (NHEFS outcome model)</w:t>
            </w:r>
            <w:r>
              <w:t xml:space="preserve"> </w:t>
            </w:r>
            <w:r>
              <w:t xml:space="preserve">A linear regression model for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</m:e>
              </m:d>
            </m:oMath>
            <w:r>
              <w:t xml:space="preserve"> </w:t>
            </w:r>
            <w:r>
              <w:t xml:space="preserve">(among the uncensored) with covariates: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treatment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 all 9 confounders in</w:t>
            </w:r>
            <w:r>
              <w:t xml:space="preserve"> </w:t>
            </w:r>
            <m:oMath>
              <m:r>
                <m:t>L</m:t>
              </m:r>
            </m:oMath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linear and quadratic terms for age, weight, smoking intensity, and smoking duration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a product term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×</m:t>
              </m:r>
            </m:oMath>
            <w:r>
              <w:t xml:space="preserve"> </w:t>
            </w:r>
            <w:r>
              <w:t xml:space="preserve">smoking intensity</w:t>
            </w:r>
          </w:p>
          <w:p>
            <w:pPr>
              <w:pStyle w:val="FirstParagraph"/>
            </w:pPr>
            <w:r>
              <w:t xml:space="preserve">The model assumes each covariate contributes additively to the mean, except that the contribution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varies linearly with smoking intensity.</w:t>
            </w:r>
          </w:p>
          <w:bookmarkEnd w:id="21"/>
        </w:tc>
      </w:tr>
    </w:tbl>
    <w:p>
      <w:pPr>
        <w:pStyle w:val="BodyText"/>
      </w:pPr>
      <w:r>
        <w:t xml:space="preserve">Fitting this model (book’s Program 13.1) gives a predicted mean</w:t>
      </w:r>
      <w:r>
        <w:t xml:space="preserve"> </w:t>
      </w:r>
      <m:oMath>
        <m:acc>
          <m:accPr>
            <m:chr m:val="̂"/>
          </m:accPr>
          <m:e>
            <m:r>
              <m:rPr>
                <m:nor/>
                <m:sty m:val="p"/>
              </m:rPr>
              <m:t>E</m:t>
            </m:r>
          </m:e>
        </m:acc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L</m:t>
            </m:r>
            <m:r>
              <m:rPr>
                <m:sty m:val="p"/>
              </m:rPr>
              <m:t>=</m:t>
            </m:r>
            <m:r>
              <m:t>l</m:t>
            </m:r>
          </m:e>
        </m:d>
      </m:oMath>
      <w:r>
        <w:t xml:space="preserve"> </w:t>
      </w:r>
      <w:r>
        <w:t xml:space="preserve">for each combination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L</m:t>
        </m:r>
      </m:oMath>
      <w:r>
        <w:t xml:space="preserve">, and hence for each of the 403 uncensored treated and 1163 uncensored untreated individuals.</w:t>
      </w:r>
    </w:p>
    <w:p>
      <w:pPr>
        <w:pStyle w:val="BodyText"/>
      </w:pPr>
      <w:r>
        <w:t xml:space="preserve">For example, a non-quitter who is male, white, age 26, a college dropout, smoking 15 cigarettes/day for 12 years, with moderate exercise, very active, and weighing 112 kg had a predicted mean weight gain of 0.34 kg (individual 24770 in the data).</w:t>
      </w:r>
    </w:p>
    <w:p>
      <w:pPr>
        <w:pStyle w:val="BodyText"/>
      </w:pPr>
      <w:r>
        <w:t xml:space="preserve">The mean of the predicted values was 2.6 kg, matching the mean observed weight gain (observed values ranged from</w:t>
      </w:r>
      <w:r>
        <w:t xml:space="preserve"> </w:t>
      </w:r>
      <m:oMath>
        <m:r>
          <m:rPr>
            <m:sty m:val="p"/>
          </m:rPr>
          <m:t>−</m:t>
        </m:r>
        <m:r>
          <m:t>41.3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48.5</m:t>
        </m:r>
      </m:oMath>
      <w:r>
        <w:t xml:space="preserve"> </w:t>
      </w:r>
      <w:r>
        <w:t xml:space="preserve">kg).</w:t>
      </w:r>
    </w:p>
    <w:bookmarkStart w:id="26" w:name="X6d9a1620ee3fc3b1e14bd8b70fd354ed7e6606a"/>
    <w:p>
      <w:pPr>
        <w:pStyle w:val="Heading3"/>
      </w:pPr>
      <w:r>
        <w:t xml:space="preserve">2.1 Supplement: Other Outcome and Treatment Types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2" w:name="rem-other-outcome-types"/>
          <w:p>
            <w:pPr>
              <w:pStyle w:val="BodyText"/>
            </w:pPr>
            <w:r>
              <w:rPr>
                <w:i/>
                <w:iCs/>
              </w:rPr>
              <w:t xml:space="preserve">Remark 4</w:t>
            </w:r>
            <w:r>
              <w:t xml:space="preserve"> (Other outcome and treatment types). </w:t>
            </w:r>
            <w:r>
              <w:t xml:space="preserve">The same approach applies with other outcome models: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Dichotomous</w:t>
            </w:r>
            <w:r>
              <w:rPr>
                <w:b/>
                <w:bCs/>
              </w:rPr>
              <w:t xml:space="preserve"> </w:t>
            </w:r>
            <m:oMath>
              <m:r>
                <m:t>Y</m:t>
              </m:r>
            </m:oMath>
            <w:r>
              <w:t xml:space="preserve">: fit, e.g., a logistic model for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;</w:t>
            </w:r>
            <w:r>
              <w:t xml:space="preserve"> </w:t>
            </w:r>
            <w:r>
              <w:t xml:space="preserve">the standardized means are then standardized risks, from which a risk difference, risk ratio, or odds ratio can be computed.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Nondichotomous</w:t>
            </w:r>
            <w:r>
              <w:rPr>
                <w:b/>
                <w:bCs/>
              </w:rPr>
              <w:t xml:space="preserve"> </w:t>
            </w:r>
            <m:oMath>
              <m:r>
                <m:t>A</m:t>
              </m:r>
            </m:oMath>
            <w:r>
              <w:t xml:space="preserve">: standardize the predicted means at each treatment level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of interest.</w:t>
            </w:r>
          </w:p>
          <w:bookmarkEnd w:id="22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Conditional Odds Ratios Are Not Marginal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t xml:space="preserve">The conditional (on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) odds ratio from a logistic outcome model is generally not equal to the marginal causal odds ratio, because the odds ratio is not collapsible;</w:t>
            </w:r>
            <w:r>
              <w:t xml:space="preserve"> </w:t>
            </w:r>
            <w:r>
              <w:t xml:space="preserve">standardization averages predicted</w:t>
            </w:r>
            <w:r>
              <w:t xml:space="preserve"> </w:t>
            </w:r>
            <w:r>
              <w:rPr>
                <w:i/>
                <w:iCs/>
              </w:rPr>
              <w:t xml:space="preserve">risks</w:t>
            </w:r>
            <w:r>
              <w:t xml:space="preserve"> </w:t>
            </w:r>
            <w:r>
              <w:t xml:space="preserve">first and then forms the effect measure.</w:t>
            </w:r>
          </w:p>
          <w:p/>
        </w:tc>
      </w:tr>
    </w:tbl>
    <w:bookmarkEnd w:id="26"/>
    <w:bookmarkEnd w:id="27"/>
    <w:bookmarkStart w:id="39" w:name="Xf6b6459c61f097b3154a061fc0630552da852cc"/>
    <w:p>
      <w:pPr>
        <w:pStyle w:val="Heading2"/>
      </w:pPr>
      <w:r>
        <w:t xml:space="preserve">3 13.3 Standardizing the Mean Outcome to the Confounder Distribution (pp. 178-179)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We do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need to estimate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8" w:name="prp-standardized-mean-iterated"/>
          <w:p>
            <w:pPr>
              <w:pStyle w:val="BodyText"/>
            </w:pPr>
            <w:r>
              <w:rPr>
                <w:b/>
                <w:bCs/>
              </w:rPr>
              <w:t xml:space="preserve">Proposition 1 (The standardized mean is an iterated expectation)</w:t>
            </w:r>
            <w:r>
              <w:t xml:space="preserve"> </w:t>
            </w:r>
            <w:r>
              <w:t xml:space="preserve">For discrete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l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nor/>
                        <m:sty m:val="p"/>
                      </m:rPr>
                      <m:t>E</m:t>
                    </m:r>
                  </m:e>
                </m:nary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C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L</m:t>
                    </m:r>
                    <m:r>
                      <m:rPr>
                        <m:sty m:val="p"/>
                      </m:rPr>
                      <m:t>=</m:t>
                    </m:r>
                    <m:r>
                      <m:t>l</m:t>
                    </m:r>
                  </m:e>
                </m:d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L</m:t>
                </m:r>
                <m:r>
                  <m:rPr>
                    <m:sty m:val="p"/>
                  </m:rPr>
                  <m:t>=</m:t>
                </m:r>
                <m:r>
                  <m:t>l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L</m:t>
                        </m:r>
                      </m:e>
                    </m:d>
                  </m:e>
                </m:d>
              </m:oMath>
            </m:oMathPara>
          </w:p>
          <w:bookmarkEnd w:id="28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The outer expectation is over the marginal distribution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Writing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</m:e>
              </m:d>
            </m:oMath>
            <w:r>
              <w:t xml:space="preserve">, we have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l</m:t>
                  </m:r>
                </m:sub>
                <m:sup>
                  <m:r>
                    <m:t>​</m:t>
                  </m:r>
                </m:sup>
                <m:e>
                  <m:r>
                    <m:t>g</m:t>
                  </m:r>
                </m:e>
              </m:nary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by the definition of expectation.</w:t>
            </w:r>
          </w:p>
          <w:p/>
        </w:tc>
      </w:tr>
    </w:tbl>
    <w:p>
      <w:pPr>
        <w:pStyle w:val="BodyText"/>
      </w:pPr>
      <w:r>
        <w:t xml:space="preserve">By</w:t>
      </w:r>
      <w:r>
        <w:t xml:space="preserve"> </w:t>
      </w:r>
      <w:hyperlink w:anchor="prp-standardized-mean-iterated">
        <w:r>
          <w:rPr>
            <w:rStyle w:val="Hyperlink"/>
          </w:rPr>
          <w:t xml:space="preserve">Proposition 1</w:t>
        </w:r>
      </w:hyperlink>
      <w:r>
        <w:t xml:space="preserve">, the standardized mean can be estimated by averaging the model predictions over the</w:t>
      </w:r>
      <w:r>
        <w:t xml:space="preserve"> </w:t>
      </w:r>
      <w:r>
        <w:rPr>
          <w:b/>
          <w:bCs/>
        </w:rPr>
        <w:t xml:space="preserve">empirical distribution</w:t>
      </w:r>
      <w:r>
        <w:t xml:space="preserve"> </w:t>
      </w:r>
      <w:r>
        <w:t xml:space="preserve">of</w:t>
      </w:r>
      <w:r>
        <w:t xml:space="preserve"> </w:t>
      </w:r>
      <m:oMath>
        <m:r>
          <m:t>L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E</m:t>
                  </m:r>
                </m:e>
              </m:acc>
            </m:e>
          </m:nary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=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</m:e>
          </m:d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number of individuals in the study.</w:t>
      </w:r>
    </w:p>
    <w:p>
      <w:pPr>
        <w:pStyle w:val="BodyText"/>
      </w:pPr>
      <w:r>
        <w:t xml:space="preserve">Replacing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by its estimate</w:t>
      </w:r>
      <w:r>
        <w:t xml:space="preserve"> </w:t>
      </w:r>
      <m:oMath>
        <m:acc>
          <m:accPr>
            <m:chr m:val="̂"/>
          </m:accPr>
          <m:e>
            <m:r>
              <m:t>g</m:t>
            </m:r>
          </m:e>
        </m:acc>
      </m:oMath>
      <w:r>
        <w:t xml:space="preserve"> </w:t>
      </w:r>
      <w:r>
        <w:t xml:space="preserve">and the distribution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by the empirical distribution (mass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on each observed</w:t>
      </w:r>
      <w:r>
        <w:t xml:space="preserve"> </w:t>
      </w:r>
      <m:oMath>
        <m:sSub>
          <m:e>
            <m:r>
              <m:t>L</m:t>
            </m:r>
          </m:e>
          <m:sub>
            <m:r>
              <m:t>i</m:t>
            </m:r>
          </m:sub>
        </m:sSub>
      </m:oMath>
      <w:r>
        <w:t xml:space="preserve">) gives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acc>
              <m:accPr>
                <m:chr m:val="̂"/>
              </m:accPr>
              <m:e>
                <m:r>
                  <m:t>g</m:t>
                </m:r>
              </m:e>
            </m:acc>
          </m:e>
        </m:nary>
        <m:r>
          <m:rPr>
            <m:sty m:val="p"/>
          </m:rPr>
          <m:t>(</m:t>
        </m:r>
        <m:sSub>
          <m:e>
            <m:r>
              <m:t>L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Averaging over the observed</w:t>
      </w:r>
      <w:r>
        <w:t xml:space="preserve"> </w:t>
      </w:r>
      <m:oMath>
        <m:sSub>
          <m:e>
            <m:r>
              <m:t>L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a nonparametric estimate of the distribution of</w:t>
      </w:r>
      <w:r>
        <w:t xml:space="preserve"> </w:t>
      </w:r>
      <m:oMath>
        <m:r>
          <m:t>L</m:t>
        </m:r>
      </m:oMath>
      <w:r>
        <w:t xml:space="preserve">, which is valid here because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consists of baseline covariates unaffected by treatment.</w:t>
      </w:r>
    </w:p>
    <w:bookmarkStart w:id="30" w:name="the-four-step-algorithm"/>
    <w:p>
      <w:pPr>
        <w:pStyle w:val="Heading3"/>
      </w:pPr>
      <w:r>
        <w:t xml:space="preserve">3.1 The Four-Step Algorithm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9" w:name="def-g-formula-algorithm"/>
          <w:p>
            <w:pPr>
              <w:pStyle w:val="BodyText"/>
            </w:pPr>
            <w:r>
              <w:rPr>
                <w:b/>
                <w:bCs/>
              </w:rPr>
              <w:t xml:space="preserve">Definition 2 (Standardization by expanding the dataset)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Expansion</w:t>
            </w:r>
            <w:r>
              <w:t xml:space="preserve">: make three copies of the data.</w:t>
            </w:r>
            <w:r>
              <w:t xml:space="preserve"> </w:t>
            </w:r>
            <w:r>
              <w:t xml:space="preserve">Block 1 is the original data.</w:t>
            </w:r>
            <w:r>
              <w:t xml:space="preserve"> </w:t>
            </w:r>
            <w:r>
              <w:t xml:space="preserve">In block 2 set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for everyone; in block 3 set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for everyone.</w:t>
            </w:r>
            <w:r>
              <w:t xml:space="preserve"> </w:t>
            </w:r>
            <w:r>
              <w:t xml:space="preserve">Set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to missing in blocks 2 and 3.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Outcome modeling</w:t>
            </w:r>
            <w:r>
              <w:t xml:space="preserve">: fit the outcome model on the 3-block dataset.</w:t>
            </w:r>
            <w:r>
              <w:t xml:space="preserve"> </w:t>
            </w:r>
            <w:r>
              <w:t xml:space="preserve">Only block 1 contributes, because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missing elsewhere.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Prediction</w:t>
            </w:r>
            <w:r>
              <w:t xml:space="preserve">: use the fitted model to predict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for every row of blocks 2 and 3.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Standardization by averaging</w:t>
            </w:r>
            <w:r>
              <w:t xml:space="preserve">: the mean prediction in block 2 estimates the standardized mean under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;</w:t>
            </w:r>
            <w:r>
              <w:t xml:space="preserve"> </w:t>
            </w:r>
            <w:r>
              <w:t xml:space="preserve">in block 3, under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  <w:bookmarkEnd w:id="29"/>
        </w:tc>
      </w:tr>
    </w:tbl>
    <w:bookmarkEnd w:id="30"/>
    <w:bookmarkStart w:id="32" w:name="X1ec1107ab33b758713d3b1a5128ebc3ab2d4007"/>
    <w:p>
      <w:pPr>
        <w:pStyle w:val="Heading3"/>
      </w:pPr>
      <w:r>
        <w:t xml:space="preserve">3.2 Example: Table 2.2 (No Censoring, One Binary</w:t>
      </w:r>
      <w:r>
        <w:t xml:space="preserve"> </w:t>
      </w:r>
      <m:oMath>
        <m:r>
          <m:t>L</m:t>
        </m:r>
      </m:oMath>
      <w:r>
        <w:t xml:space="preserve">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1" w:name="exm-table22"/>
          <w:p>
            <w:pPr>
              <w:pStyle w:val="BodyText"/>
            </w:pPr>
            <w:r>
              <w:rPr>
                <w:b/>
                <w:bCs/>
              </w:rPr>
              <w:t xml:space="preserve">Example 2 (Standardization of the Table 2.2 data)</w:t>
            </w:r>
            <w:r>
              <w:t xml:space="preserve"> </w:t>
            </w:r>
            <w:r>
              <w:t xml:space="preserve">The 20-row Table 2.2 becomes 60 rows.</w:t>
            </w:r>
            <w:r>
              <w:t xml:space="preserve"> </w:t>
            </w:r>
            <w:r>
              <w:t xml:space="preserve">With a saturated model (main effects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plus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×</m:t>
              </m:r>
              <m:r>
                <m:t>L</m:t>
              </m:r>
            </m:oMath>
            <w:r>
              <w:t xml:space="preserve">), the predictions equal the stratum-specific risks: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/</m:t>
              </m:r>
              <m:r>
                <m:t>3</m:t>
              </m:r>
            </m:oMath>
            <w:r>
              <w:t xml:space="preserve"> </w:t>
            </w:r>
            <w:r>
              <w:t xml:space="preserve">for both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Since 60% of rows have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 40% have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each block’s average prediction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4</m:t>
                    </m:r>
                  </m:den>
                </m:f>
                <m:r>
                  <m:rPr>
                    <m:sty m:val="p"/>
                  </m:rPr>
                  <m:t>×</m:t>
                </m:r>
                <m:r>
                  <m:t>0.4</m:t>
                </m:r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2</m:t>
                    </m:r>
                  </m:num>
                  <m:den>
                    <m:r>
                      <m:t>3</m:t>
                    </m:r>
                  </m:den>
                </m:f>
                <m:r>
                  <m:rPr>
                    <m:sty m:val="p"/>
                  </m:rPr>
                  <m:t>×</m:t>
                </m:r>
                <m:r>
                  <m:t>0.6</m:t>
                </m:r>
                <m:r>
                  <m:rPr>
                    <m:sty m:val="p"/>
                  </m:rPr>
                  <m:t>=</m:t>
                </m:r>
                <m:r>
                  <m:t>0.1</m:t>
                </m:r>
                <m:r>
                  <m:rPr>
                    <m:sty m:val="p"/>
                  </m:rPr>
                  <m:t>+</m:t>
                </m:r>
                <m:r>
                  <m:t>0.4</m:t>
                </m:r>
                <m:r>
                  <m:rPr>
                    <m:sty m:val="p"/>
                  </m:rPr>
                  <m:t>=</m:t>
                </m:r>
                <m:r>
                  <m:t>0.5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exactly the standardized risks of Section 2.3 (0.5 under both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).</w:t>
            </w:r>
          </w:p>
          <w:bookmarkEnd w:id="31"/>
        </w:tc>
      </w:tr>
    </w:tbl>
    <w:p>
      <w:pPr>
        <w:pStyle w:val="BodyText"/>
      </w:pPr>
      <w:r>
        <w:t xml:space="preserve">With a saturated model, this procedure is completely nonparametric, so it reproduces the direct calculation of Chapter 2 (book’s Program 13.2).</w:t>
      </w:r>
      <w:r>
        <w:t xml:space="preserve"> </w:t>
      </w:r>
      <w:r>
        <w:t xml:space="preserve">The averaging step weights each stratum by its share of rows, which is how it implements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</m:oMath>
      <w:r>
        <w:t xml:space="preserve"> </w:t>
      </w:r>
      <w:r>
        <w:t xml:space="preserve">without estimating it.</w:t>
      </w:r>
    </w:p>
    <w:bookmarkEnd w:id="32"/>
    <w:bookmarkStart w:id="38" w:name="example-nhefs"/>
    <w:p>
      <w:pPr>
        <w:pStyle w:val="Heading3"/>
      </w:pPr>
      <w:r>
        <w:t xml:space="preserve">3.3 Example: NHEFS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3" w:name="exm-nhefs-standardization"/>
          <w:p>
            <w:pPr>
              <w:pStyle w:val="BodyText"/>
            </w:pPr>
            <w:r>
              <w:rPr>
                <w:b/>
                <w:bCs/>
              </w:rPr>
              <w:t xml:space="preserve">Example 3 (Parametric g-formula in NHEFS)</w:t>
            </w:r>
            <w:r>
              <w:t xml:space="preserve"> </w:t>
            </w:r>
            <w:r>
              <w:t xml:space="preserve">Applying the four steps with the outcome model of</w:t>
            </w:r>
            <w:r>
              <w:t xml:space="preserve"> </w:t>
            </w:r>
            <w:hyperlink w:anchor="exm-nhefs-outcome-model">
              <w:r>
                <w:rPr>
                  <w:rStyle w:val="Hyperlink"/>
                </w:rPr>
                <w:t xml:space="preserve">Example 1</w:t>
              </w:r>
            </w:hyperlink>
            <w:r>
              <w:t xml:space="preserve"> </w:t>
            </w:r>
            <w:r>
              <w:t xml:space="preserve">(book’s Program 13.3):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standardized mean in the untreated (block 2): 1.66 kg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standardized mean in the treated (block 3): 5.18 kg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estimated effect:</w:t>
            </w:r>
            <w:r>
              <w:t xml:space="preserve"> </w:t>
            </w:r>
            <m:oMath>
              <m:r>
                <m:t>5.18</m:t>
              </m:r>
              <m:r>
                <m:rPr>
                  <m:sty m:val="p"/>
                </m:rPr>
                <m:t>−</m:t>
              </m:r>
              <m:r>
                <m:t>1.66</m:t>
              </m:r>
              <m:r>
                <m:rPr>
                  <m:sty m:val="p"/>
                </m:rPr>
                <m:t>=</m:t>
              </m:r>
              <m:r>
                <m:t>3.52</m:t>
              </m:r>
              <m:r>
                <m:rPr>
                  <m:sty m:val="p"/>
                </m:rPr>
                <m:t>≈</m:t>
              </m:r>
              <m:r>
                <m:t>3.5</m:t>
              </m:r>
            </m:oMath>
            <w:r>
              <w:t xml:space="preserve"> </w:t>
            </w:r>
            <w:r>
              <w:t xml:space="preserve">kg</w:t>
            </w:r>
          </w:p>
          <w:p>
            <w:pPr>
              <w:pStyle w:val="FirstParagraph"/>
            </w:pPr>
            <w:r>
              <w:t xml:space="preserve">With a nonparametric bootstrap (Program 13.4), the 95% confidence interval is 2.6 to 4.5 kg.</w:t>
            </w:r>
          </w:p>
          <w:bookmarkEnd w:id="33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Two Different Confidence Intervals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t xml:space="preserve">The two intervals in the book belong to different methods.</w:t>
            </w:r>
            <w:r>
              <w:t xml:space="preserve"> </w:t>
            </w:r>
            <w:r>
              <w:t xml:space="preserve">The bootstrap interval (2.6, 4.5) is the parametric g-formula’s own</w:t>
            </w:r>
            <w:r>
              <w:t xml:space="preserve"> </w:t>
            </w:r>
            <w:r>
              <w:t xml:space="preserve">(Hernán and Robins 2020, chap. 13, p. 179)</w:t>
            </w:r>
            <w:r>
              <w:t xml:space="preserve">.</w:t>
            </w:r>
            <w:r>
              <w:t xml:space="preserve"> </w:t>
            </w:r>
            <w:r>
              <w:t xml:space="preserve">The interval (2.5, 4.5) is the one for the IP weighted estimate with weights</w:t>
            </w:r>
            <w:r>
              <w:t xml:space="preserve"> </w:t>
            </w:r>
            <m:oMath>
              <m:r>
                <m:t>S</m:t>
              </m:r>
              <m:sSup>
                <m:e>
                  <m:r>
                    <m:t>W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</m:sup>
              </m:sSup>
            </m:oMath>
            <w:r>
              <w:t xml:space="preserve"> </w:t>
            </w:r>
            <w:r>
              <w:t xml:space="preserve">in Chapter 12</w:t>
            </w:r>
            <w:r>
              <w:t xml:space="preserve"> </w:t>
            </w:r>
            <w:r>
              <w:t xml:space="preserve">(Hernán and Robins 2020, chap. 12, p. 174)</w:t>
            </w:r>
            <w:r>
              <w:t xml:space="preserve">.</w:t>
            </w:r>
            <w:r>
              <w:t xml:space="preserve"> </w:t>
            </w:r>
            <w:r>
              <w:t xml:space="preserve">The summary in Section 13.5 states one interval, (2.5, 4.5), for both methods together</w:t>
            </w:r>
            <w:r>
              <w:t xml:space="preserve"> </w:t>
            </w:r>
            <w:r>
              <w:t xml:space="preserve">(Hernán and Robins 2020, chap. 13, p. 181)</w:t>
            </w:r>
            <w:r>
              <w:t xml:space="preserve">;</w:t>
            </w:r>
            <w:r>
              <w:t xml:space="preserve"> </w:t>
            </w:r>
            <w:r>
              <w:t xml:space="preserve">that interval matches the IP weighted one, and the g-formula’s own is (2.6, 4.5).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13.1: Bootstrapping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nonparametric bootstrap</w:t>
            </w:r>
            <w:r>
              <w:t xml:space="preserve"> </w:t>
            </w:r>
            <w:r>
              <w:t xml:space="preserve">estimates standard errors when analytic or large-sample formulas are impractical: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Draw a sample of size 1629</w:t>
            </w:r>
            <w:r>
              <w:t xml:space="preserve"> </w:t>
            </w:r>
            <w:r>
              <w:rPr>
                <w:b/>
                <w:bCs/>
              </w:rPr>
              <w:t xml:space="preserve">with replacement</w:t>
            </w:r>
            <w:r>
              <w:t xml:space="preserve"> </w:t>
            </w:r>
            <w:r>
              <w:t xml:space="preserve">from the 1629 individuals (a bootstrap sample).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Compute the effect estimate in the bootstrap sample with the same method (here, standardization).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Repeat many times (the book uses 1000).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The standard deviation of the bootstrap estimates estimates the standard error;</w:t>
            </w:r>
            <w:r>
              <w:t xml:space="preserve"> </w:t>
            </w:r>
            <w:r>
              <w:t xml:space="preserve">the 95% CI is the estimate</w:t>
            </w:r>
            <w:r>
              <w:t xml:space="preserve"> </w:t>
            </w:r>
            <m:oMath>
              <m:r>
                <m:rPr>
                  <m:sty m:val="p"/>
                </m:rPr>
                <m:t>±</m:t>
              </m:r>
              <m:r>
                <m:t>1.96</m:t>
              </m:r>
              <m:r>
                <m:rPr>
                  <m:sty m:val="p"/>
                </m:rPr>
                <m:t>×</m:t>
              </m:r>
            </m:oMath>
            <w:r>
              <w:t xml:space="preserve"> </w:t>
            </w:r>
            <w:r>
              <w:t xml:space="preserve">that standard error.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When an estimator’s limiting distribution is normal, Wald intervals with bootstrap standard errors are calibrated in large samples.</w:t>
            </w:r>
            <w:r>
              <w:t xml:space="preserve"> </w:t>
            </w:r>
            <w:r>
              <w:t xml:space="preserve">For IP weighted MSM estimates, the bootstrap interval is calibrated, whereas the robust (</w:t>
            </w:r>
            <w:r>
              <w:t xml:space="preserve">“sandwich”</w:t>
            </w:r>
            <w:r>
              <w:t xml:space="preserve">) variance from Chapter 12 often gives a conservative, wider interval.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Published analyses often use 200-500 bootstrap samples to save computation;</w:t>
            </w:r>
            <w:r>
              <w:t xml:space="preserve"> </w:t>
            </w:r>
            <w:r>
              <w:t xml:space="preserve">in this example that would have given an almost identical interval, but not necessarily in general.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t xml:space="preserve">“bag of little bootstraps”</w:t>
            </w:r>
            <w:r>
              <w:t xml:space="preserve"> </w:t>
            </w:r>
            <w:r>
              <w:t xml:space="preserve">(Kleiner et al. 2014) is a scalable alternative.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Wasserman (2004) introduces the theory behind the bootstrap.</w:t>
            </w:r>
          </w:p>
          <w:p/>
        </w:tc>
      </w:tr>
    </w:tbl>
    <w:bookmarkEnd w:id="38"/>
    <w:bookmarkEnd w:id="39"/>
    <w:bookmarkStart w:id="62" w:name="Xdf7cc00515c089cc558d74416aa7da53afc70fa"/>
    <w:p>
      <w:pPr>
        <w:pStyle w:val="Heading2"/>
      </w:pPr>
      <w:r>
        <w:t xml:space="preserve">4 13.4 IP Weighting or Standardization? (pp. 179-180)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0" w:name="rem-ipw-vs-standardization"/>
          <w:p>
            <w:pPr>
              <w:pStyle w:val="BodyText"/>
            </w:pPr>
            <w:r>
              <w:rPr>
                <w:i/>
                <w:iCs/>
              </w:rPr>
              <w:t xml:space="preserve">Remark 5</w:t>
            </w:r>
            <w:r>
              <w:t xml:space="preserve"> (IP weighting and standardization model different things). 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Without models, the IP weighted and standardized means are</w:t>
            </w:r>
            <w:r>
              <w:t xml:space="preserve"> </w:t>
            </w:r>
            <w:r>
              <w:rPr>
                <w:b/>
                <w:bCs/>
              </w:rPr>
              <w:t xml:space="preserve">exactly equal</w:t>
            </w:r>
            <w:r>
              <w:t xml:space="preserve"> </w:t>
            </w:r>
            <w:r>
              <w:t xml:space="preserve">(Technical Point 2.3).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With models, they generally</w:t>
            </w:r>
            <w:r>
              <w:t xml:space="preserve"> </w:t>
            </w:r>
            <w:r>
              <w:rPr>
                <w:b/>
                <w:bCs/>
              </w:rPr>
              <w:t xml:space="preserve">differ</w:t>
            </w:r>
            <w:r>
              <w:t xml:space="preserve">, because they model different things:</w:t>
            </w:r>
          </w:p>
          <w:p>
            <w:pPr>
              <w:pStyle w:val="Compact"/>
              <w:numPr>
                <w:ilvl w:val="1"/>
                <w:numId w:val="1011"/>
              </w:numPr>
            </w:pPr>
            <w:r>
              <w:t xml:space="preserve">IP weighting: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(in Chapter 12, logistic models for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)</w:t>
            </w:r>
          </w:p>
          <w:p>
            <w:pPr>
              <w:pStyle w:val="Compact"/>
              <w:numPr>
                <w:ilvl w:val="1"/>
                <w:numId w:val="1011"/>
              </w:numPr>
            </w:pPr>
            <w:r>
              <w:t xml:space="preserve">Standardization: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</m:e>
              </m:d>
            </m:oMath>
            <w:r>
              <w:t xml:space="preserve"> </w:t>
            </w:r>
            <w:r>
              <w:t xml:space="preserve">(here, a linear model)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Some misspecification is inescapable, and it will usually bias the two estimates differently.</w:t>
            </w:r>
          </w:p>
          <w:bookmarkEnd w:id="40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Compare the Two Estimates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12"/>
              </w:numPr>
            </w:pP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large</w:t>
            </w:r>
            <w:r>
              <w:t xml:space="preserve"> </w:t>
            </w:r>
            <w:r>
              <w:t xml:space="preserve">difference between the two estimates signals serious misspecification in at least one of them.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small</w:t>
            </w:r>
            <w:r>
              <w:t xml:space="preserve"> </w:t>
            </w:r>
            <w:r>
              <w:t xml:space="preserve">difference does not guarantee correct models, but it is reassuring: badly misspecified models are unlikely to produce biases of similar magnitude and direction.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t xml:space="preserve">In NHEFS both estimates round to</w:t>
            </w:r>
            <w:r>
              <w:t xml:space="preserve"> </w:t>
            </w:r>
            <w:r>
              <w:rPr>
                <w:b/>
                <w:bCs/>
              </w:rPr>
              <w:t xml:space="preserve">3.5 kg</w:t>
            </w:r>
            <w:r>
              <w:t xml:space="preserve">.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t xml:space="preserve">Neither method modeled the confounders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: IP weighting does not need their distribution, and standardization used their empirical distribution.</w:t>
            </w:r>
          </w:p>
          <w:p/>
        </w:tc>
      </w:tr>
    </w:tbl>
    <w:bookmarkStart w:id="48" w:name="the-parametric-g-formula"/>
    <w:p>
      <w:pPr>
        <w:pStyle w:val="Heading3"/>
      </w:pPr>
      <w:r>
        <w:t xml:space="preserve">4.1 The (Parametric) G-Formula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4" w:name="def-parametric-g-formula"/>
          <w:p>
            <w:pPr>
              <w:pStyle w:val="BodyText"/>
            </w:pPr>
            <w:r>
              <w:rPr>
                <w:b/>
                <w:bCs/>
              </w:rPr>
              <w:t xml:space="preserve">Definition 3 (Parametric g-formula)</w:t>
            </w:r>
            <w:r>
              <w:t xml:space="preserve"> </w:t>
            </w:r>
            <w:r>
              <w:t xml:space="preserve">IP weighting and standardization each estimate the</w:t>
            </w:r>
            <w:r>
              <w:t xml:space="preserve"> </w:t>
            </w:r>
            <w:r>
              <w:rPr>
                <w:b/>
                <w:bCs/>
              </w:rPr>
              <w:t xml:space="preserve">g-formula</w:t>
            </w:r>
            <w:r>
              <w:t xml:space="preserve"> </w:t>
            </w:r>
            <w:r>
              <w:t xml:space="preserve">(Robins 1986).</w:t>
            </w:r>
            <w:r>
              <w:t xml:space="preserve"> </w:t>
            </w:r>
            <w:r>
              <w:t xml:space="preserve">Standardization is a</w:t>
            </w:r>
            <w:r>
              <w:t xml:space="preserve"> </w:t>
            </w:r>
            <w:r>
              <w:rPr>
                <w:b/>
                <w:bCs/>
              </w:rPr>
              <w:t xml:space="preserve">plug-in</w:t>
            </w:r>
            <w:r>
              <w:t xml:space="preserve"> </w:t>
            </w:r>
            <w:r>
              <w:t xml:space="preserve">g-formula estimator: it substitutes an estimate for the conditional mean outcome that appears in the g-formula.</w:t>
            </w:r>
            <w:r>
              <w:t xml:space="preserve"> </w:t>
            </w:r>
            <w:r>
              <w:t xml:space="preserve">When that estimate comes from a parametric model, the method is the</w:t>
            </w:r>
            <w:r>
              <w:t xml:space="preserve"> </w:t>
            </w:r>
            <w:r>
              <w:rPr>
                <w:b/>
                <w:bCs/>
              </w:rPr>
              <w:t xml:space="preserve">parametric g-formula</w:t>
            </w:r>
            <w:r>
              <w:t xml:space="preserve">.</w:t>
            </w:r>
          </w:p>
          <w:bookmarkEnd w:id="44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5" w:name="rem-g-formula-what-to-model"/>
          <w:p>
            <w:pPr>
              <w:pStyle w:val="BodyText"/>
            </w:pPr>
            <w:r>
              <w:rPr>
                <w:i/>
                <w:iCs/>
              </w:rPr>
              <w:t xml:space="preserve">Remark 6</w:t>
            </w:r>
            <w:r>
              <w:t xml:space="preserve"> (What the parametric g-formula needs to model). 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For an average causal effect we only need the conditional</w:t>
            </w:r>
            <w:r>
              <w:t xml:space="preserve"> </w:t>
            </w:r>
            <w:r>
              <w:rPr>
                <w:b/>
                <w:bCs/>
              </w:rPr>
              <w:t xml:space="preserve">mean</w:t>
            </w:r>
            <w:r>
              <w:t xml:space="preserve"> </w:t>
            </w:r>
            <w:r>
              <w:t xml:space="preserve">outcome;</w:t>
            </w:r>
            <w:r>
              <w:t xml:space="preserve"> </w:t>
            </w:r>
            <w:r>
              <w:t xml:space="preserve">for a standardized</w:t>
            </w:r>
            <w:r>
              <w:t xml:space="preserve"> </w:t>
            </w:r>
            <w:r>
              <w:rPr>
                <w:b/>
                <w:bCs/>
              </w:rPr>
              <w:t xml:space="preserve">distribution</w:t>
            </w:r>
            <w:r>
              <w:t xml:space="preserve"> </w:t>
            </w:r>
            <w:r>
              <w:t xml:space="preserve">(pdf) we would need the conditional distribution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Without time-varying confounders, the parametric g-formula does not require modeling the distribution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</w:p>
          <w:bookmarkEnd w:id="45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Terminology: G-Formula, G-Computation, G-Estimation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t xml:space="preserve">Robins (1986)</w:t>
            </w:r>
            <w:r>
              <w:t xml:space="preserve"> </w:t>
            </w:r>
            <w:r>
              <w:t xml:space="preserve">generalized standardization to time-varying treatments and confounders under the name</w:t>
            </w:r>
            <w:r>
              <w:t xml:space="preserve"> </w:t>
            </w:r>
            <w:r>
              <w:rPr>
                <w:i/>
                <w:iCs/>
              </w:rPr>
              <w:t xml:space="preserve">g-computation algorithm formula</w:t>
            </w:r>
            <w:r>
              <w:t xml:space="preserve">.</w:t>
            </w:r>
            <w:r>
              <w:t xml:space="preserve"> </w:t>
            </w:r>
            <w:r>
              <w:t xml:space="preserve">Some authors shorten this to</w:t>
            </w:r>
            <w:r>
              <w:t xml:space="preserve"> </w:t>
            </w:r>
            <w:r>
              <w:t xml:space="preserve">“g-formula”</w:t>
            </w:r>
            <w:r>
              <w:t xml:space="preserve">, others to</w:t>
            </w:r>
            <w:r>
              <w:t xml:space="preserve"> </w:t>
            </w:r>
            <w:r>
              <w:t xml:space="preserve">“g-computation”</w:t>
            </w:r>
            <w:r>
              <w:t xml:space="preserve">.</w:t>
            </w:r>
            <w:r>
              <w:t xml:space="preserve"> </w:t>
            </w:r>
            <w:r>
              <w:t xml:space="preserve">The book uses only</w:t>
            </w:r>
            <w:r>
              <w:t xml:space="preserve"> </w:t>
            </w:r>
            <w:r>
              <w:t xml:space="preserve">“g-formula”</w:t>
            </w:r>
            <w:r>
              <w:t xml:space="preserve">, because</w:t>
            </w:r>
            <w:r>
              <w:t xml:space="preserve"> </w:t>
            </w:r>
            <w:r>
              <w:t xml:space="preserve">“g-computation”</w:t>
            </w:r>
            <w:r>
              <w:t xml:space="preserve"> </w:t>
            </w:r>
            <w:r>
              <w:t xml:space="preserve">is often confused with g-estimation, a different method (Chapter 14).</w:t>
            </w:r>
          </w:p>
          <w:p>
            <w:pPr>
              <w:pStyle w:val="BodyText"/>
            </w:pPr>
            <w:r>
              <w:t xml:space="preserve">Part III defines the g-formula for time-varying treatments.</w:t>
            </w:r>
          </w:p>
          <w:p/>
        </w:tc>
      </w:tr>
    </w:tbl>
    <w:bookmarkEnd w:id="48"/>
    <w:bookmarkStart w:id="57" w:name="use-both-and-use-doubly-robust-methods"/>
    <w:p>
      <w:pPr>
        <w:pStyle w:val="Heading3"/>
      </w:pPr>
      <w:r>
        <w:t xml:space="preserve">4.2 Use Both, and Use Doubly Robust Methods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9" w:name="def-doubly-robust"/>
          <w:p>
            <w:pPr>
              <w:pStyle w:val="BodyText"/>
            </w:pPr>
            <w:r>
              <w:rPr>
                <w:b/>
                <w:bCs/>
              </w:rPr>
              <w:t xml:space="preserve">Definition 4 (Doubly robust estimator)</w:t>
            </w:r>
            <w:r>
              <w:t xml:space="preserve"> </w:t>
            </w:r>
            <w:r>
              <w:t xml:space="preserve">An estimator that combines a treatment model and an outcome model is</w:t>
            </w:r>
            <w:r>
              <w:t xml:space="preserve"> </w:t>
            </w:r>
            <w:r>
              <w:rPr>
                <w:b/>
                <w:bCs/>
              </w:rPr>
              <w:t xml:space="preserve">doubly robust</w:t>
            </w:r>
            <w:r>
              <w:t xml:space="preserve"> </w:t>
            </w:r>
            <w:r>
              <w:t xml:space="preserve">if, under exchangeability and positivity given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it is consistent when</w:t>
            </w:r>
            <w:r>
              <w:t xml:space="preserve"> </w:t>
            </w:r>
            <w:r>
              <w:rPr>
                <w:b/>
                <w:bCs/>
              </w:rPr>
              <w:t xml:space="preserve">either</w:t>
            </w:r>
            <w:r>
              <w:t xml:space="preserve"> </w:t>
            </w:r>
            <w:r>
              <w:t xml:space="preserve">model is correct, without our knowing which.</w:t>
            </w:r>
          </w:p>
          <w:bookmarkEnd w:id="49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Use Both Methods, and Doubly Robust Ones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When both IP weighting and the parametric g-formula can be used,</w:t>
            </w:r>
            <w:r>
              <w:t xml:space="preserve"> </w:t>
            </w:r>
            <w:r>
              <w:rPr>
                <w:b/>
                <w:bCs/>
              </w:rPr>
              <w:t xml:space="preserve">use both</w:t>
            </w:r>
            <w:r>
              <w:t xml:space="preserve">.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Whenever possible, use</w:t>
            </w:r>
            <w:r>
              <w:t xml:space="preserve"> </w:t>
            </w:r>
            <w:r>
              <w:rPr>
                <w:b/>
                <w:bCs/>
              </w:rPr>
              <w:t xml:space="preserve">doubly robust</w:t>
            </w:r>
            <w:r>
              <w:t xml:space="preserve"> </w:t>
            </w:r>
            <w:r>
              <w:t xml:space="preserve">estimators (</w:t>
            </w:r>
            <w:hyperlink w:anchor="def-doubly-robust">
              <w:r>
                <w:rPr>
                  <w:rStyle w:val="Hyperlink"/>
                </w:rPr>
                <w:t xml:space="preserve">Definition 4</w:t>
              </w:r>
            </w:hyperlink>
            <w:r>
              <w:t xml:space="preserve">).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Both methods can also target a subset of the population, e.g., estimating standardized means separately in men and women to study effect modification by sex.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13.2: A Doubly Robust Plug-In Estimator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 dichotomous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 no censoring</w:t>
            </w:r>
            <w:r>
              <w:t xml:space="preserve"> </w:t>
            </w:r>
            <w:r>
              <w:t xml:space="preserve">(Bang and Robins 2005)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t xml:space="preserve">Estimate the IP weights</w:t>
            </w:r>
            <w:r>
              <w:t xml:space="preserve"> </w:t>
            </w:r>
            <m:oMath>
              <m:sSup>
                <m:e>
                  <m:r>
                    <m:t>W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as in Chapter 12.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t xml:space="preserve">Fit an outcome model (a GLM with canonical link) for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  <m:r>
                    <m:rPr>
                      <m:sty m:val="p"/>
                    </m:rPr>
                    <m:t>,</m:t>
                  </m:r>
                  <m:r>
                    <m:t>R</m:t>
                  </m:r>
                </m:e>
              </m:d>
            </m:oMath>
            <w:r>
              <w:t xml:space="preserve"> </w:t>
            </w:r>
            <w:r>
              <w:t xml:space="preserve">that adds the covariate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sSup>
                <m:e>
                  <m:r>
                    <m:t>W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W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t xml:space="preserve">Predict for everyone with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set to 1 and</w:t>
            </w:r>
            <w:r>
              <w:t xml:space="preserve"> </w:t>
            </w:r>
            <m:oMath>
              <m:r>
                <m:t>R</m:t>
              </m:r>
            </m:oMath>
            <w:r>
              <w:t xml:space="preserve"> </w:t>
            </w:r>
            <w:r>
              <w:t xml:space="preserve">recomputed at that value,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, and average;</w:t>
            </w:r>
            <w:r>
              <w:t xml:space="preserve"> </w:t>
            </w:r>
            <w:r>
              <w:t xml:space="preserve">repeat with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set to 0 and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t xml:space="preserve">The difference of the two averages is a doubly robust plug-in estimate of the average causal effect.</w:t>
            </w:r>
          </w:p>
          <w:p>
            <w:pPr>
              <w:pStyle w:val="FirstParagraph"/>
            </w:pPr>
            <w:r>
              <w:t xml:space="preserve">Equivalently,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t>I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/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, which is the</w:t>
            </w:r>
            <w:r>
              <w:t xml:space="preserve"> </w:t>
            </w:r>
            <w:r>
              <w:t xml:space="preserve">“clever covariate”</w:t>
            </w:r>
            <w:r>
              <w:t xml:space="preserve"> </w:t>
            </w:r>
            <w:r>
              <w:t xml:space="preserve">of targeted minimum loss-based estimation (TMLE);</w:t>
            </w:r>
            <w:r>
              <w:t xml:space="preserve"> </w:t>
            </w:r>
            <w:r>
              <w:t xml:space="preserve">see the book’s Technical Point 13.3.</w:t>
            </w:r>
            <w:r>
              <w:t xml:space="preserve"> </w:t>
            </w:r>
            <w:r>
              <w:t xml:space="preserve">Including</w:t>
            </w:r>
            <w:r>
              <w:t xml:space="preserve"> </w:t>
            </w:r>
            <m:oMath>
              <m:r>
                <m:t>R</m:t>
              </m:r>
            </m:oMath>
            <w:r>
              <w:t xml:space="preserve"> </w:t>
            </w:r>
            <w:r>
              <w:t xml:space="preserve">makes the fitted model’s residuals, weighted by</w:t>
            </w:r>
            <w:r>
              <w:t xml:space="preserve"> </w:t>
            </w:r>
            <m:oMath>
              <m:r>
                <m:t>R</m:t>
              </m:r>
            </m:oMath>
            <w:r>
              <w:t xml:space="preserve">, sum to zero, which is what makes the plug-in estimator doubly robust.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13.2: The Augmented IP Weighted Estimator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 dichotomous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write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</m:e>
              </m:d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  <w:r>
              <w:t xml:space="preserve"> </w:t>
            </w:r>
            <w:r>
              <w:t xml:space="preserve">Under the identifiability conditions,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b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A</m:t>
                        </m:r>
                        <m:r>
                          <m:t>Y</m:t>
                        </m:r>
                      </m:num>
                      <m:den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Plug-in g-formula estimator: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acc>
                    <m:accPr>
                      <m:chr m:val="̂"/>
                    </m:accPr>
                    <m:e>
                      <m:r>
                        <m:t>b</m:t>
                      </m:r>
                    </m:e>
                  </m:acc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Horvitz-Thompson IP weighted estimator: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/</m:t>
              </m:r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6" w:name="def-aipw"/>
          <w:p>
            <w:pPr>
              <w:pStyle w:val="BodyText"/>
            </w:pPr>
            <w:r>
              <w:rPr>
                <w:b/>
                <w:bCs/>
              </w:rPr>
              <w:t xml:space="preserve">Definition 5 (Augmented IP weighted (AIPW) estimator)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rPr>
                        <m:nor/>
                        <m:sty m:val="p"/>
                      </m:rPr>
                      <m:t>E</m:t>
                    </m:r>
                  </m:e>
                </m:acc>
                <m:sSub>
                  <m:e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p>
                        </m:sSup>
                      </m:e>
                    </m:d>
                  </m:e>
                  <m:sub>
                    <m:r>
                      <m:t>D</m:t>
                    </m:r>
                    <m:r>
                      <m:t>R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b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L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num>
                          <m:den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π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L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b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L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</m:e>
                    </m:d>
                  </m:e>
                </m:nary>
              </m:oMath>
            </m:oMathPara>
          </w:p>
          <w:bookmarkEnd w:id="56"/>
        </w:tc>
      </w:tr>
    </w:tbl>
    <w:p>
      <w:pPr>
        <w:pStyle w:val="FirstParagraph"/>
      </w:pPr>
      <w:r>
        <w:rPr>
          <w:b/>
          <w:bCs/>
        </w:rPr>
        <w:t xml:space="preserve">Two equivalent forms.</w:t>
      </w:r>
      <w:r>
        <w:t xml:space="preserve"> </w:t>
      </w:r>
      <w:r>
        <w:t xml:space="preserve">Expanding the summand: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{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}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  <m:acc>
                <m:accPr>
                  <m:chr m:val="̂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−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t>π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L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acc>
                <m:accPr>
                  <m:chr m:val="̂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</m:t>
              </m:r>
              <m:acc>
                <m:accPr>
                  <m:chr m:val="̂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terms)</m:t>
              </m:r>
            </m:e>
          </m:eqArr>
        </m:oMath>
      </m:oMathPara>
    </w:p>
    <w:p>
      <w:pPr>
        <w:pStyle w:val="FirstParagraph"/>
      </w:pPr>
      <w:r>
        <w:t xml:space="preserve">The first form is the outcome-model estimator plus an IP weighted correction;</w:t>
      </w:r>
      <w:r>
        <w:t xml:space="preserve"> </w:t>
      </w:r>
      <w:r>
        <w:t xml:space="preserve">the second is the Horvitz-Thompson estimator plus an outcome-model correction (</w:t>
      </w:r>
      <w:r>
        <w:t xml:space="preserve">“augmentation”</w:t>
      </w:r>
      <w:r>
        <w:t xml:space="preserve">), hence the name.</w:t>
      </w:r>
    </w:p>
    <w:bookmarkEnd w:id="57"/>
    <w:bookmarkStart w:id="61" w:name="why-the-aipw-estimator-is-doubly-robust"/>
    <w:p>
      <w:pPr>
        <w:pStyle w:val="Heading3"/>
      </w:pPr>
      <w:r>
        <w:t xml:space="preserve">4.3 Why the AIPW Estimator Is Doubly Robust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8" w:name="thm-aipw-doubly-robust"/>
          <w:p>
            <w:pPr>
              <w:pStyle w:val="BodyText"/>
            </w:pPr>
            <w:r>
              <w:rPr>
                <w:b/>
                <w:bCs/>
              </w:rPr>
              <w:t xml:space="preserve">Theorem 2 (The AIPW estimator is doubly robust)</w:t>
            </w:r>
            <w:r>
              <w:t xml:space="preserve"> </w:t>
            </w:r>
            <w:r>
              <w:t xml:space="preserve">Assume exchangeability, positivity and consistency, and let</w:t>
            </w:r>
            <w:r>
              <w:t xml:space="preserve"> </w:t>
            </w:r>
            <m:oMath>
              <m:r>
                <m:t>b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be as in Technical Point 13.2.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be the probability limits of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π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b</m:t>
                  </m:r>
                </m:e>
              </m:acc>
            </m:oMath>
            <w:r>
              <w:t xml:space="preserve">, with</w:t>
            </w:r>
            <w:r>
              <w:t xml:space="preserve"> </w:t>
            </w:r>
            <m:oMath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AIPW estimator of</w:t>
            </w:r>
            <w:r>
              <w:t xml:space="preserve"> </w:t>
            </w:r>
            <w:hyperlink w:anchor="def-aipw">
              <w:r>
                <w:rPr>
                  <w:rStyle w:val="Hyperlink"/>
                </w:rPr>
                <w:t xml:space="preserve">Definition 5</w:t>
              </w:r>
            </w:hyperlink>
            <w:r>
              <w:t xml:space="preserve"> </w:t>
            </w:r>
            <w:r>
              <w:t xml:space="preserve">converges to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A</m:t>
                  </m:r>
                  <m:r>
                    <m:rPr>
                      <m:sty m:val="p"/>
                    </m:rPr>
                    <m:t>{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/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</m:e>
              </m:d>
            </m:oMath>
            <w:r>
              <w:t xml:space="preserve">, and its asymptotic bias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sSup>
                              <m:e>
                                <m:r>
                                  <m:t>π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*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L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π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L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</m:e>
                    </m:d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b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b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</m:e>
                </m:d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which is zero if</w:t>
            </w:r>
            <w:r>
              <w:t xml:space="preserve"> </w:t>
            </w:r>
            <m:oMath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=</m:t>
              </m:r>
              <m:r>
                <m:t>π</m:t>
              </m:r>
            </m:oMath>
            <w:r>
              <w:t xml:space="preserve"> </w:t>
            </w:r>
            <w:r>
              <w:t xml:space="preserve">(treatment model correct)</w:t>
            </w:r>
            <w:r>
              <w:t xml:space="preserve"> </w:t>
            </w:r>
            <w:r>
              <w:rPr>
                <w:b/>
                <w:bCs/>
              </w:rPr>
              <w:t xml:space="preserve">or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=</m:t>
              </m:r>
              <m:r>
                <m:t>b</m:t>
              </m:r>
            </m:oMath>
            <w:r>
              <w:t xml:space="preserve"> </w:t>
            </w:r>
            <w:r>
              <w:t xml:space="preserve">(outcome model correct).</w:t>
            </w:r>
          </w:p>
          <w:bookmarkEnd w:id="58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First condition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|"/>
                        <m:endChr m:val="]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{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p>
                              <m:e>
                                <m:r>
                                  <m:t>b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*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L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}</m:t>
                            </m:r>
                          </m:num>
                          <m:den>
                            <m:sSup>
                              <m:e>
                                <m:r>
                                  <m:t>π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*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L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  <m:r>
                          <m:t> </m:t>
                        </m:r>
                      </m:e>
                      <m:e>
                        <m:r>
                          <m:t> </m:t>
                        </m:r>
                        <m:r>
                          <m:t>L</m:t>
                        </m:r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[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]</m:t>
                        </m:r>
                        <m:r>
                          <m:t> </m:t>
                        </m:r>
                        <m:r>
                          <m:rPr>
                            <m:nor/>
                            <m:sty m:val="p"/>
                          </m:rPr>
                          <m:t>E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p>
                              <m:e>
                                <m:r>
                                  <m:t>b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*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L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L</m:t>
                            </m:r>
                          </m:e>
                        </m:d>
                      </m:num>
                      <m:den>
                        <m:sSup>
                          <m:e>
                            <m:r>
                              <m:t>π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(only 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 contributes)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{</m:t>
                        </m:r>
                        <m:r>
                          <m:t>b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b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}</m:t>
                        </m:r>
                      </m:num>
                      <m:den>
                        <m:sSup>
                          <m:e>
                            <m:r>
                              <m:t>π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(definitions of 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,</m:t>
                    </m:r>
                    <m:r>
                      <m:t>b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Then, subtracting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b</m:t>
                  </m:r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</m:e>
              </m:d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bias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b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b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π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L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sSup>
                              <m:e>
                                <m:r>
                                  <m:t>π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*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L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  <m:r>
                          <m:rPr>
                            <m:sty m:val="p"/>
                          </m:rPr>
                          <m:t>{</m:t>
                        </m:r>
                        <m:r>
                          <m:t>b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b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}</m:t>
                        </m:r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(law of total expectation)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π</m:t>
                                </m:r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L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num>
                              <m:den>
                                <m:sSup>
                                  <m:e>
                                    <m:r>
                                      <m:t>π</m:t>
                                    </m:r>
                                  </m:e>
                                  <m:sup>
                                    <m:r>
                                      <m:rPr>
                                        <m:sty m:val="p"/>
                                      </m:rPr>
                                      <m:t>*</m:t>
                                    </m:r>
                                  </m:sup>
                                </m:sSup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L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den>
                            </m:f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{</m:t>
                        </m:r>
                        <m:r>
                          <m:t>b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b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}</m:t>
                        </m:r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(factor out </m:t>
                    </m:r>
                    <m:r>
                      <m:t>b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b</m:t>
                        </m:r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1</m:t>
                                </m:r>
                              </m:num>
                              <m:den>
                                <m:sSup>
                                  <m:e>
                                    <m:r>
                                      <m:t>π</m:t>
                                    </m:r>
                                  </m:e>
                                  <m:sup>
                                    <m:r>
                                      <m:rPr>
                                        <m:sty m:val="p"/>
                                      </m:rPr>
                                      <m:t>*</m:t>
                                    </m:r>
                                  </m:sup>
                                </m:sSup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L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den>
                            </m:f>
                            <m:r>
                              <m:rPr>
                                <m:sty m:val="p"/>
                              </m:rPr>
                              <m:t>−</m:t>
                            </m:r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1</m:t>
                                </m:r>
                              </m:num>
                              <m:den>
                                <m:r>
                                  <m:t>π</m:t>
                                </m:r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L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den>
                            </m:f>
                          </m:e>
                        </m:d>
                        <m:r>
                          <m:rPr>
                            <m:sty m:val="p"/>
                          </m:rPr>
                          <m:t>{</m:t>
                        </m:r>
                        <m:r>
                          <m:t>b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b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}</m:t>
                        </m:r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(factor out 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/>
        </w:tc>
      </w:tr>
    </w:tbl>
    <w:p>
      <w:pPr>
        <w:pStyle w:val="FirstParagraph"/>
      </w:pPr>
      <w:r>
        <w:t xml:space="preserve">The book</w:t>
      </w:r>
      <w:r>
        <w:t xml:space="preserve"> </w:t>
      </w:r>
      <w:r>
        <w:t xml:space="preserve">(Hernán and Robins 2020, Technical Point 13.2, p. 184)</w:t>
      </w:r>
      <w:r>
        <w:t xml:space="preserve"> </w:t>
      </w:r>
      <w:r>
        <w:t xml:space="preserve">displays this limit with the opposite sign,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the derivation here gives the sign shown, which does not affect the conclusion.</w:t>
      </w:r>
    </w:p>
    <w:p>
      <w:pPr>
        <w:pStyle w:val="BodyText"/>
      </w:pPr>
      <w:r>
        <w:rPr>
          <w:b/>
          <w:bCs/>
        </w:rPr>
        <w:t xml:space="preserve">Second-order bias.</w:t>
      </w:r>
      <w:r>
        <w:t xml:space="preserve"> </w:t>
      </w:r>
      <w:r>
        <w:t xml:space="preserve">The bias depends on the</w:t>
      </w:r>
      <w:r>
        <w:t xml:space="preserve"> </w:t>
      </w:r>
      <w:r>
        <w:rPr>
          <w:i/>
          <w:iCs/>
        </w:rPr>
        <w:t xml:space="preserve">product</w:t>
      </w:r>
      <w:r>
        <w:t xml:space="preserve"> </w:t>
      </w:r>
      <w:r>
        <w:t xml:space="preserve">of the errors in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π</m:t>
        </m:r>
      </m:oMath>
      <w:r>
        <w:t xml:space="preserve"> </w:t>
      </w:r>
      <w:r>
        <w:t xml:space="preserve">and in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This property lets doubly robust estimators that use machine learning 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achieve small bias in high-dimensional settings (Chapter 18), where no parametric model is expected to be correct.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6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13.3: The Augmented IP Weighted Estimator and the Doubly Robust Plug-In Estimator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technical point shows that the doubly robust plug-in estimator of Fine Point 13.2 is the AIPW estimator in which the outcome model is fit so that the augmentation term sums to zero in every sample (a TMLE).</w:t>
            </w:r>
            <w:r>
              <w:t xml:space="preserve"> </w:t>
            </w:r>
            <w:r>
              <w:t xml:space="preserve">Using two clever covariates,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/</m:t>
              </m:r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{</m:t>
              </m:r>
              <m:r>
                <m:t>1</m:t>
              </m:r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}</m:t>
              </m:r>
            </m:oMath>
            <w:r>
              <w:t xml:space="preserve">, also makes each plug-in counterfactual mean doubly robust.</w:t>
            </w:r>
          </w:p>
          <w:p/>
        </w:tc>
      </w:tr>
    </w:tbl>
    <w:bookmarkEnd w:id="61"/>
    <w:bookmarkEnd w:id="62"/>
    <w:bookmarkStart w:id="69" w:name="X4fb44f95245f2f4cbd1f60aa532a7488dfb962e"/>
    <w:p>
      <w:pPr>
        <w:pStyle w:val="Heading2"/>
      </w:pPr>
      <w:r>
        <w:t xml:space="preserve">5 13.5 How Seriously Do We Take Our Estimates? (pp. 181-185)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3" w:name="exm-nhefs-first-estimates"/>
          <w:p>
            <w:pPr>
              <w:pStyle w:val="BodyText"/>
            </w:pPr>
            <w:r>
              <w:rPr>
                <w:b/>
                <w:bCs/>
              </w:rPr>
              <w:t xml:space="preserve">Example 4 (NHEFS: First Estimates from Real Data)</w:t>
            </w:r>
            <w:r>
              <w:t xml:space="preserve"> </w:t>
            </w:r>
            <w:r>
              <w:t xml:space="preserve">Our first estimates from real data, by IP weighting and by the parametric g-formula: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t xml:space="preserve">mean weight gain: 5.2 kg if everybody had quit, 1.7 kg if nobody had quit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t xml:space="preserve">effect:</w:t>
            </w:r>
            <w:r>
              <w:t xml:space="preserve"> </w:t>
            </w:r>
            <w:r>
              <w:rPr>
                <w:b/>
                <w:bCs/>
              </w:rPr>
              <w:t xml:space="preserve">3.5 kg</w:t>
            </w:r>
            <w:r>
              <w:t xml:space="preserve"> </w:t>
            </w:r>
            <w:r>
              <w:t xml:space="preserve">by both methods (95% CI: 2.5, 4.5 for IP weighting;</w:t>
            </w:r>
            <w:r>
              <w:t xml:space="preserve"> </w:t>
            </w:r>
            <w:r>
              <w:t xml:space="preserve">2.6, 4.5 for the g-formula)</w:t>
            </w:r>
          </w:p>
          <w:bookmarkEnd w:id="63"/>
        </w:tc>
      </w:tr>
    </w:tbl>
    <w:p>
      <w:pPr>
        <w:pStyle w:val="FirstParagraph"/>
      </w:pPr>
      <w:r>
        <w:t xml:space="preserve">Agreement across methods (and, in the next chapters, g-estimation, outcome regression, and propensity scores) is reassuring because each relies on different modeling assumptions.</w:t>
      </w:r>
      <w:r>
        <w:t xml:space="preserve"> </w:t>
      </w:r>
      <w:r>
        <w:t xml:space="preserve">But observational estimates remain open to serious criticism.</w:t>
      </w:r>
    </w:p>
    <w:bookmarkStart w:id="65" w:name="three-groups-of-conditions"/>
    <w:p>
      <w:pPr>
        <w:pStyle w:val="Heading3"/>
      </w:pPr>
      <w:r>
        <w:t xml:space="preserve">5.1 Three Groups of Conditions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4" w:name="rem-conditions-causal-interpretation"/>
          <w:p>
            <w:pPr>
              <w:pStyle w:val="BodyText"/>
            </w:pPr>
            <w:r>
              <w:rPr>
                <w:i/>
                <w:iCs/>
              </w:rPr>
              <w:t xml:space="preserve">Remark 7</w:t>
            </w:r>
            <w:r>
              <w:t xml:space="preserve"> (Conditions for a causal interpretation). 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r>
              <w:rPr>
                <w:b/>
                <w:bCs/>
              </w:rPr>
              <w:t xml:space="preserve">Identifiability</w:t>
            </w:r>
            <w:r>
              <w:t xml:space="preserve">: exchangeability, positivity, and consistency, so that the observational study emulates the target trial.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r>
              <w:rPr>
                <w:b/>
                <w:bCs/>
              </w:rPr>
              <w:t xml:space="preserve">No measurement error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 or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(Chapter 9).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r>
              <w:rPr>
                <w:b/>
                <w:bCs/>
              </w:rPr>
              <w:t xml:space="preserve">No model misspecification</w:t>
            </w:r>
            <w:r>
              <w:t xml:space="preserve"> </w:t>
            </w:r>
            <w:r>
              <w:t xml:space="preserve">(Chapter 11).</w:t>
            </w:r>
          </w:p>
          <w:bookmarkEnd w:id="64"/>
        </w:tc>
      </w:tr>
    </w:tbl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Exchangeability</w:t>
      </w:r>
      <w:r>
        <w:t xml:space="preserve">: quitters and non-quitters must be exchangeable given the 9 measured covariates;</w:t>
      </w:r>
      <w:r>
        <w:t xml:space="preserve"> </w:t>
      </w:r>
      <w:r>
        <w:t xml:space="preserve">unmeasured confounding (Chapter 7) or selection bias (Chapter 8) would violate it.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Positivity</w:t>
      </w:r>
      <w:r>
        <w:t xml:space="preserve">: the distribution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in quitters must fully overlap that in non-quitters.</w:t>
      </w:r>
      <w:r>
        <w:t xml:space="preserve"> </w:t>
      </w:r>
      <w:r>
        <w:t xml:space="preserve">Outcome-regression methods (including doubly robust ones) can proceed without positivity if one trusts the outcome model to extrapolate (Fine Point 13.1).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Consistency</w:t>
      </w:r>
      <w:r>
        <w:t xml:space="preserve">: there are multiple versions of quitting (gradually, abruptly) and of not quitting (smoking more, smoking less).</w:t>
      </w:r>
      <w:r>
        <w:t xml:space="preserve"> </w:t>
      </w:r>
      <w:r>
        <w:t xml:space="preserve">The estimate corresponds to a vague intervention assigning these versions with their observed frequencies;</w:t>
      </w:r>
      <w:r>
        <w:t xml:space="preserve"> </w:t>
      </w:r>
      <w:r>
        <w:t xml:space="preserve">other interventions could give different effects, which matters for policy and clinical decisions</w:t>
      </w:r>
      <w:r>
        <w:t xml:space="preserve"> </w:t>
      </w:r>
      <w:r>
        <w:t xml:space="preserve">(Hernán and Robins 2020, 182)</w:t>
      </w:r>
      <w:r>
        <w:t xml:space="preserve">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Measurement</w:t>
      </w:r>
      <w:r>
        <w:t xml:space="preserve">: some mismeasurement of most variables is unavoidable.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Models</w:t>
      </w:r>
      <w:r>
        <w:t xml:space="preserve">: e.g., if the true functional form of age in the treatment model is a complex polynomial rather than a parabola, IP weighting will not fully adjust for confounding even if all confounders are measured.</w:t>
      </w:r>
      <w:r>
        <w:t xml:space="preserve"> </w:t>
      </w:r>
      <w:r>
        <w:t xml:space="preserve">Model misspecification acts much like measurement error in the confounders.</w:t>
      </w:r>
    </w:p>
    <w:bookmarkEnd w:id="65"/>
    <w:bookmarkStart w:id="68" w:name="sensitivity-analysis-and-skepticism"/>
    <w:p>
      <w:pPr>
        <w:pStyle w:val="Heading3"/>
      </w:pPr>
      <w:r>
        <w:t xml:space="preserve">5.2 Sensitivity Analysis and Skepticism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6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The Conditions Are Not Testable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20"/>
              </w:numPr>
            </w:pPr>
            <w:r>
              <w:t xml:space="preserve">None of these conditions is empirically testable;</w:t>
            </w:r>
            <w:r>
              <w:t xml:space="preserve"> </w:t>
            </w:r>
            <w:r>
              <w:t xml:space="preserve">we assume they hold approximately, based on</w:t>
            </w:r>
            <w:r>
              <w:t xml:space="preserve"> </w:t>
            </w:r>
            <w:r>
              <w:rPr>
                <w:b/>
                <w:bCs/>
              </w:rPr>
              <w:t xml:space="preserve">expert knowledge</w:t>
            </w:r>
            <w:r>
              <w:t xml:space="preserve">.</w:t>
            </w:r>
          </w:p>
          <w:p>
            <w:pPr>
              <w:pStyle w:val="Compact"/>
              <w:numPr>
                <w:ilvl w:val="0"/>
                <w:numId w:val="1020"/>
              </w:numPr>
            </w:pPr>
            <w:r>
              <w:t xml:space="preserve">Expert knowledge is incomplete, so analyses should explore</w:t>
            </w:r>
            <w:r>
              <w:t xml:space="preserve"> </w:t>
            </w:r>
            <w:r>
              <w:rPr>
                <w:b/>
                <w:bCs/>
              </w:rPr>
              <w:t xml:space="preserve">sensitivity</w:t>
            </w:r>
            <w:r>
              <w:t xml:space="preserve"> </w:t>
            </w:r>
            <w:r>
              <w:t xml:space="preserve">to the assumptions.</w:t>
            </w:r>
          </w:p>
          <w:p/>
        </w:tc>
      </w:tr>
    </w:tbl>
    <w:p>
      <w:pPr>
        <w:pStyle w:val="FirstParagraph"/>
      </w:pPr>
      <w:r>
        <w:t xml:space="preserve">Sensitivity analyses discussed in the book include those for confounding (Fine Point 7.1;</w:t>
      </w:r>
      <w:r>
        <w:t xml:space="preserve"> </w:t>
      </w:r>
      <w:r>
        <w:t xml:space="preserve">negative outcome controls, Technical Point 7.5;</w:t>
      </w:r>
      <w:r>
        <w:t xml:space="preserve"> </w:t>
      </w:r>
      <w:r>
        <w:t xml:space="preserve">g-estimation, Fine Point 14.2), selection bias (Fine Point 12.1), and model misspecification (Section 11.5), as well as quantitative bias analysis (Fine Point 10.2).</w:t>
      </w:r>
      <w:r>
        <w:t xml:space="preserve"> </w:t>
      </w:r>
      <w:r>
        <w:t xml:space="preserve">Alternative unverifiable conditions, such as those for instrumental variable estimation (Chapter 16), proximal causal inference (Technical Point 7.3), or the front door criterion (Technical Point 7.4), can also be used.</w:t>
      </w:r>
    </w:p>
    <w:p>
      <w:pPr>
        <w:pStyle w:val="BodyText"/>
      </w:pPr>
      <w:r>
        <w:t xml:space="preserve">The book’s closing message: skepticism of observational causal inferences should be grounded in expert knowledge about each assumption, and</w:t>
      </w:r>
      <w:r>
        <w:t xml:space="preserve"> </w:t>
      </w:r>
      <w:r>
        <w:t xml:space="preserve">“we only take our effect estimates as seriously as we take the conditions that are needed to endow them with a causal interpretation”</w:t>
      </w:r>
      <w:r>
        <w:t xml:space="preserve"> </w:t>
      </w:r>
      <w:r>
        <w:t xml:space="preserve">(Hernán and Robins 2020, chap. 13, p. 183)</w:t>
      </w:r>
      <w:r>
        <w:t xml:space="preserve">.</w:t>
      </w:r>
    </w:p>
    <w:bookmarkEnd w:id="68"/>
    <w:bookmarkEnd w:id="69"/>
    <w:bookmarkStart w:id="75" w:name="summary"/>
    <w:p>
      <w:pPr>
        <w:pStyle w:val="Heading2"/>
      </w:pPr>
      <w:r>
        <w:t xml:space="preserve">6 Summary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Key concepts introduced</w:t>
      </w:r>
      <w:r>
        <w:t xml:space="preserve">: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Standardized mean</w:t>
      </w:r>
      <w:r>
        <w:t xml:space="preserve">: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l</m:t>
            </m:r>
          </m:sub>
          <m:sup>
            <m:r>
              <m:t>​</m:t>
            </m:r>
          </m:sup>
          <m:e>
            <m:r>
              <m:rPr>
                <m:nor/>
                <m:sty m:val="p"/>
              </m:rPr>
              <m:t>E</m:t>
            </m:r>
          </m:e>
        </m:nary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L</m:t>
            </m:r>
            <m:r>
              <m:rPr>
                <m:sty m:val="p"/>
              </m:rPr>
              <m:t>=</m:t>
            </m:r>
            <m:r>
              <m:t>l</m:t>
            </m:r>
          </m:e>
        </m:d>
        <m:r>
          <m:rPr>
            <m:sty m:val="p"/>
          </m:rPr>
          <m:t>Pr</m:t>
        </m:r>
        <m:r>
          <m:rPr>
            <m:sty m:val="p"/>
          </m:rPr>
          <m:t>[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rPr>
                <m:nor/>
                <m:sty m:val="p"/>
              </m:rPr>
              <m:t>E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,</m:t>
                </m:r>
                <m:r>
                  <m:t>C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L</m:t>
                </m:r>
              </m:e>
            </m:d>
          </m:e>
        </m:d>
      </m:oMath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Parametric g-formula</w:t>
      </w:r>
      <w:r>
        <w:t xml:space="preserve">: estimate the conditional mean with a parametric model and average predictions over the empirical distribution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(the four-step algorithm)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NHEFS</w:t>
      </w:r>
      <w:r>
        <w:t xml:space="preserve">: standardized means 5.18 kg (quit) and 1.66 kg (did not quit);</w:t>
      </w:r>
      <w:r>
        <w:t xml:space="preserve"> </w:t>
      </w:r>
      <w:r>
        <w:t xml:space="preserve">effect 3.5 kg, essentially the same as IP weighting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Bootstrap</w:t>
      </w:r>
      <w:r>
        <w:t xml:space="preserve">: resample individuals with replacement to estimate the standard error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IP weighting vs standardization</w:t>
      </w:r>
      <w:r>
        <w:t xml:space="preserve">: equal without models;</w:t>
      </w:r>
      <w:r>
        <w:t xml:space="preserve"> </w:t>
      </w:r>
      <w:r>
        <w:t xml:space="preserve">with models they rely on different assumptions, so compare them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Doubly robust estimators</w:t>
      </w:r>
      <w:r>
        <w:t xml:space="preserve">: consistent if either the treatment or the outcome model is correct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Conditions for causal interpretation</w:t>
      </w:r>
      <w:r>
        <w:t xml:space="preserve">: identifiability, no measurement error, no model misspecification</w:t>
      </w:r>
    </w:p>
    <w:p>
      <w:pPr>
        <w:pStyle w:val="FirstParagraph"/>
      </w:pPr>
      <w:r>
        <w:rPr>
          <w:b/>
          <w:bCs/>
        </w:rPr>
        <w:t xml:space="preserve">Looking ahead</w:t>
      </w:r>
      <w:r>
        <w:t xml:space="preserve">:</w:t>
      </w:r>
    </w:p>
    <w:p>
      <w:pPr>
        <w:pStyle w:val="Compact"/>
        <w:numPr>
          <w:ilvl w:val="0"/>
          <w:numId w:val="1022"/>
        </w:numPr>
      </w:pPr>
      <w:r>
        <w:t xml:space="preserve">Chapter 14 introduces g-estimation of structural nested models, which models the treatment given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together with a model for the causal effect itself.</w:t>
      </w:r>
    </w:p>
    <w:p>
      <w:pPr>
        <w:pStyle w:val="Compact"/>
        <w:numPr>
          <w:ilvl w:val="0"/>
          <w:numId w:val="1022"/>
        </w:numPr>
      </w:pPr>
      <w:r>
        <w:t xml:space="preserve">Part III defines the g-formula, and the parametric g-formula, for time-varying treatments.</w:t>
      </w:r>
    </w:p>
    <w:p>
      <w:pPr>
        <w:pStyle w:val="Compact"/>
        <w:numPr>
          <w:ilvl w:val="0"/>
          <w:numId w:val="1022"/>
        </w:numPr>
      </w:pPr>
      <w:r>
        <w:t xml:space="preserve">Chapter 18 returns to doubly robust estimation with machine learning.</w:t>
      </w:r>
    </w:p>
    <w:bookmarkStart w:id="74" w:name="refs"/>
    <w:bookmarkStart w:id="70" w:name="ref-bang2005doubly"/>
    <w:p>
      <w:pPr>
        <w:pStyle w:val="Bibliography"/>
      </w:pPr>
      <w:r>
        <w:t xml:space="preserve">Bang, Heejung, and James M Robins. 2005.</w:t>
      </w:r>
      <w:r>
        <w:t xml:space="preserve"> </w:t>
      </w:r>
      <w:r>
        <w:t xml:space="preserve">“Doubly Robust Estimation in Missing Data and Causal Inference Models.”</w:t>
      </w:r>
      <w:r>
        <w:t xml:space="preserve"> </w:t>
      </w:r>
      <w:r>
        <w:rPr>
          <w:i/>
          <w:iCs/>
        </w:rPr>
        <w:t xml:space="preserve">Biometrics</w:t>
      </w:r>
      <w:r>
        <w:t xml:space="preserve"> </w:t>
      </w:r>
      <w:r>
        <w:t xml:space="preserve">61: 962–73.</w:t>
      </w:r>
    </w:p>
    <w:bookmarkEnd w:id="70"/>
    <w:bookmarkStart w:id="72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71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72"/>
    <w:bookmarkStart w:id="73" w:name="ref-robins1986new"/>
    <w:p>
      <w:pPr>
        <w:pStyle w:val="Bibliography"/>
      </w:pPr>
      <w:r>
        <w:t xml:space="preserve">Robins, James M. 1986.</w:t>
      </w:r>
      <w:r>
        <w:t xml:space="preserve"> </w:t>
      </w:r>
      <w:r>
        <w:t xml:space="preserve">“A New Approach to Causal Inference in Mortality Studies with a Sustained Exposure Period – Application to Control of the Healthy Worker Survivor Effect.”</w:t>
      </w:r>
      <w:r>
        <w:t xml:space="preserve"> </w:t>
      </w:r>
      <w:r>
        <w:rPr>
          <w:i/>
          <w:iCs/>
        </w:rPr>
        <w:t xml:space="preserve">Mathematical Modelling</w:t>
      </w:r>
      <w:r>
        <w:t xml:space="preserve"> </w:t>
      </w:r>
      <w:r>
        <w:t xml:space="preserve">7: 1393–512.</w:t>
      </w:r>
    </w:p>
    <w:bookmarkEnd w:id="73"/>
    <w:bookmarkEnd w:id="74"/>
    <w:bookmarkEnd w:id="7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1"/>
  </w:num>
  <w:num w:numId="1017">
    <w:abstractNumId w:val="991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1"/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5" Target="media/rId15.png" /><Relationship Type="http://schemas.openxmlformats.org/officeDocument/2006/relationships/image" Id="rId41" Target="media/rId41.png" /><Relationship Type="http://schemas.openxmlformats.org/officeDocument/2006/relationships/image" Id="rId23" Target="media/rId23.png" /><Relationship Type="http://schemas.openxmlformats.org/officeDocument/2006/relationships/hyperlink" Id="rId71" Target="https://miguelhernan.org/whatifbook" TargetMode="External" /><Relationship Type="http://schemas.openxmlformats.org/officeDocument/2006/relationships/hyperlink" Id="rId9" Target="https://remlapmot.github.io/cibookex-r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71" Target="https://miguelhernan.org/whatifbook" TargetMode="External" /><Relationship Type="http://schemas.openxmlformats.org/officeDocument/2006/relationships/hyperlink" Id="rId9" Target="https://remlapmot.github.io/cibookex-r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13: Standardization and the Parametric G-Formula</dc:title>
  <dc:creator/>
  <cp:keywords/>
  <dcterms:created xsi:type="dcterms:W3CDTF">2026-10-02T17:29:05Z</dcterms:created>
  <dcterms:modified xsi:type="dcterms:W3CDTF">2026-10-02T17:29:05Z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