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covers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outcome regression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propensity score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methods (stratification, standardization, and matching on the propensity score): the most commonly used parametric methods for causal inference.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They work well for treatments fixed at a single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they are not designed for the complexities of time-varying 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is why the book presents them only after the g-methods.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15, pp. 199-208)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17" w:name="outcome-regression-pp.-199-201"/>
    <w:p>
      <w:pPr>
        <w:pStyle w:val="Heading2"/>
      </w:pPr>
      <w:ins w:id="4" w:author="PR Preview" w:date="2024-01-01T00:00:00Z">
        <w:r>
          <w:t xml:space="preserve">1 15.1 Outcome Regression (pp. 199-201)</w:t>
        </w:r>
      </w:ins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ins w:id="6" w:author="PR Preview" w:date="2024-01-01T00:00:00Z">
        <w:r>
          <w:t xml:space="preserve">1.1 A Structural Model with Parameters for</w:t>
        </w:r>
      </w:ins>
      <w:ins w:id="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 we can use the structural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ins w:id="9" w:author="PR Preview" w:date="2024-01-01T00:00:00Z">
        <w:r>
          <w:t xml:space="preserve">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are vector parameters.</w:t>
        </w:r>
      </w:ins>
    </w:p>
    <w:p>
      <w:pPr>
        <w:pStyle w:val="BodyText"/>
      </w:pPr>
      <w:ins w:id="10" w:author="PR Preview" w:date="2024-01-01T00:00:00Z">
        <w:r>
          <w:t xml:space="preserve">In Chapter 12 this model was called a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rPr>
            <w:b/>
            <w:bCs/>
          </w:rPr>
          <w:t xml:space="preserve">faux marginal structural model</w:t>
        </w:r>
      </w:ins>
      <w:ins w:id="10" w:author="PR Preview" w:date="2024-01-01T00:00:00Z">
        <w:r>
          <w:t xml:space="preserve">: it has the form of a marginal structural model,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but because it conditions on the entire vector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(not a subset</w:t>
        </w:r>
      </w:ins>
      <w:ins w:id="10" w:author="PR Preview" w:date="2024-01-01T00:00:00Z">
        <w:r>
          <w:t xml:space="preserve"> </w:t>
        </w:r>
      </w:ins>
      <m:oMath>
        <m:r>
          <m:t>V</m:t>
        </m:r>
      </m:oMath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stabilized IP weights</w:t>
        </w:r>
      </w:ins>
      <w:ins w:id="1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all equal 1 and no weighting is needed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199)</w:t>
        </w:r>
      </w:ins>
      <w:ins w:id="10" w:author="PR Preview" w:date="2024-01-01T00:00:00Z">
        <w:r>
          <w:t xml:space="preserve">.</w:t>
        </w:r>
      </w:ins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often called 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“main effect”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of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it need not have a causal interpretation (the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-</w:t>
        </w:r>
      </w:ins>
      <m:oMath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relation may itself be confounded);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only describes how the mean of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varies with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ins w:id="13" w:author="PR Preview" w:date="2024-01-01T00:00:00Z">
        <w:r>
          <w:t xml:space="preserve">1.2 Conditional Effects from the Structural Model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5" w:author="PR Preview" w:date="2024-01-01T00:00:00Z">
        <w:r>
          <w:t xml:space="preserve">So the stratum-specific effects depend only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;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counterfactual means under no treatment depend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ins w:id="17" w:author="PR Preview" w:date="2024-01-01T00:00:00Z">
        <w:r>
          <w:t xml:space="preserve">1.3 Estimating the Structural Model by Outcome Regression</w:t>
        </w:r>
      </w:ins>
    </w:p>
    <w:p>
      <w:pPr>
        <w:pStyle w:val="FirstParagraph"/>
      </w:pPr>
      <w:ins w:id="18" w:author="PR Preview" w:date="2024-01-01T00:00:00Z">
        <w:r>
          <w:t xml:space="preserve">Under exchangeability, positivity, and well-defined interventions,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" w:author="PR Preview" w:date="2024-01-01T00:00:00Z">
        <w:r>
          <w:t xml:space="preserve">so the structural parameters can be estimated by ordinary least squares, fitting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If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suffices to adjust for confounding and selection bias and the outcome model is correctly specified, then</w:t>
        </w:r>
      </w:ins>
      <w:ins w:id="22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β</m:t>
        </m:r>
      </m:oMath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Like stratification (Chapter 3), outcome regression adjusts for confounding by estimating the effect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within strata of</w:t>
        </w:r>
      </w:ins>
      <w:ins w:id="2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 Section 13.2, the outcome regression was an intermediate step toward a standardized (marginal) mean;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here the regression is the end of the procedure: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 compare conditional means instead of standardizing them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200)</w:t>
        </w:r>
      </w:ins>
      <w:ins w:id="23" w:author="PR Preview" w:date="2024-01-01T00:00:00Z">
        <w:r>
          <w:t xml:space="preserve">.</w:t>
        </w:r>
      </w:ins>
    </w:p>
    <w:p>
      <w:pPr>
        <w:pStyle w:val="BodyText"/>
      </w:pPr>
      <w:ins w:id="24" w:author="PR Preview" w:date="2024-01-01T00:00:00Z">
        <w:r>
          <w:t xml:space="preserve">The same approach works for discrete outcomes, e.g., a logistic model for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when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dichotomous.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ins w:id="26" w:author="PR Preview" w:date="2024-01-01T00:00:00Z">
        <w:r>
          <w:t xml:space="preserve">By</w:t>
        </w:r>
      </w:ins>
      <w:ins w:id="26" w:author="PR Preview" w:date="2024-01-01T00:00:00Z">
        <w:r>
          <w:t xml:space="preserve"> </w:t>
        </w:r>
      </w:ins>
      <w:hyperlink w:anchor="prp-conditional-effect">
        <w:r>
          <w:rPr>
            <w:rStyle w:val="Hyperlink"/>
          </w:rPr>
          <w:t xml:space="preserve">Proposition 1</w:t>
        </w:r>
      </w:hyperlink>
      <w:ins w:id="26" w:author="PR Preview" w:date="2024-01-01T00:00:00Z">
        <w:r>
          <w:t xml:space="preserve">, each stratum-specific estimate is</w:t>
        </w:r>
      </w:ins>
      <w:ins w:id="2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 reports the coefficients rounded to one or two decimals,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 plugging the rounded values into that formula reproduces the reported effect estimates only approximately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(e.g.,</w:t>
        </w:r>
      </w:ins>
      <w:ins w:id="26" w:author="PR Preview" w:date="2024-01-01T00:00:00Z">
        <w:r>
          <w:t xml:space="preserve"> </w:t>
        </w:r>
      </w:ins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versus the reported 4.4).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ins w:id="28" w:author="PR Preview" w:date="2024-01-01T00:00:00Z">
        <w:r>
          <w:t xml:space="preserve">2 15.2 Propensity Scores (pp. 201-202)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30" w:author="PR Preview" w:date="2024-01-01T00:00:00Z">
        <w:r>
          <w:t xml:space="preserve">In an ideal randomized trial assigning half the individuals to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everyone, whatever</w:t>
        </w:r>
      </w:ins>
      <w:ins w:id="30" w:author="PR Preview" w:date="2024-01-01T00:00:00Z">
        <w:r>
          <w:t xml:space="preserve"> 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is.</w:t>
        </w:r>
      </w:ins>
    </w:p>
    <w:p>
      <w:pPr>
        <w:pStyle w:val="Compact"/>
        <w:numPr>
          <w:ilvl w:val="0"/>
          <w:numId w:val="1003"/>
        </w:numPr>
      </w:pPr>
      <w:ins w:id="31" w:author="PR Preview" w:date="2024-01-01T00:00:00Z">
        <w:r>
          <w:t xml:space="preserve">In an observational study,</w:t>
        </w:r>
      </w:ins>
      <w:ins w:id="3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 unknown and must be estimated, e.g., with the same logistic model used for IP weighting and g-estimation in Chapters 12 and 14.</w:t>
        </w:r>
      </w:ins>
    </w:p>
    <w:p>
      <w:pPr>
        <w:pStyle w:val="FirstParagraph"/>
      </w:pPr>
      <w:ins w:id="32" w:author="PR Preview" w:date="2024-01-01T00:00:00Z">
        <w:r>
          <w:t xml:space="preserve">The book restricts attention to dichotomous treatments: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propensity score methods other than IP weighting, g-estimation, and related doubly robust estimators are difficult to generalize to non-dichotomous treatments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201)</w:t>
        </w:r>
      </w:ins>
      <w:ins w:id="3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ins w:id="34" w:author="PR Preview" w:date="2024-01-01T00:00:00Z">
        <w:r>
          <w:t xml:space="preserve">If the distribution of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the same in the treated and the untreated, there would be no confounding by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(no open path from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Quitters having a higher average estimated probability of quitting is exactly what we expect when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ins w:id="36" w:author="PR Preview" w:date="2024-01-01T00:00:00Z">
        <w:r>
          <w:t xml:space="preserve">2.1 The Balancing Property</w:t>
        </w:r>
      </w:ins>
    </w:p>
    <w:p>
      <w:pPr>
        <w:pStyle w:val="FirstParagraph"/>
      </w:pPr>
      <w:ins w:id="37" w:author="PR Preview" w:date="2024-01-01T00:00:00Z">
        <w:r>
          <w:t xml:space="preserve">Individuals with the same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may differ in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(e.g., smoking intensity and exercise),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but among all individuals with a given value of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the super-population,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the same in the treated and the untreated: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We say the propensity score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balances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covariates.</w:t>
        </w:r>
      </w:ins>
    </w:p>
    <w:p>
      <w:pPr>
        <w:pStyle w:val="BodyText"/>
      </w:pPr>
      <w:ins w:id="40" w:author="PR Preview" w:date="2024-01-01T00:00:00Z">
        <w:r>
          <w:t xml:space="preserve">Two caveats from the book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(Hernán and Robins 2020, 201–2)</w:t>
        </w:r>
      </w:ins>
      <w:ins w:id="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The propensity score balances only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measured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covariates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unlike randomization, it does nothing about unmeasured confounders.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In a finite study population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true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propensity score balances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only approximately, because of sampling variability.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 estimated propensity score from a correct model generally gives better balance;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a randomized experiment, adjusting for the estimated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corrects both systematic and chance imbalances, whereas the true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ignores the chance imbalances.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4" w:author="PR Preview" w:date="2024-01-01T00:00:00Z">
        <w:r>
          <w:t xml:space="preserve">Rosenbaum and Rubin (1983) proved that exchangeability and positivity given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imply exchangeability and positivity given any balancing score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(Hernán and Robins 2020, 202)</w:t>
        </w:r>
      </w:ins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Graphically,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sits between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, with a deterministic arrow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(book Figure 15.2);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since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blocks every backdoor path between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, adjusting for it suffices.</w:t>
        </w:r>
      </w:ins>
    </w:p>
    <w:p>
      <w:pPr>
        <w:pStyle w:val="BodyText"/>
      </w:pPr>
      <w:ins w:id="45" w:author="PR Preview" w:date="2024-01-01T00:00:00Z">
        <w:r>
          <w:t xml:space="preserve">Methods based on prognostic scores need stronger assumptions and do not extend readily to time-varying treatments;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see Hansen (2008) and Abadie et al. (2013), as cited in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Hernán and Robins (2020, 202)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ins w:id="47" w:author="PR Preview" w:date="2024-01-01T00:00:00Z">
        <w:r>
          <w:t xml:space="preserve">Hence, if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sufficient to adjust for confounding and selection bias, so is</w:t>
        </w:r>
      </w:ins>
      <w:ins w:id="4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202)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Positivity given the propensity score means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every</w:t>
        </w:r>
      </w:ins>
      <w:ins w:id="47" w:author="PR Preview" w:date="2024-01-01T00:00:00Z">
        <w:r>
          <w:t xml:space="preserve"> </w:t>
        </w:r>
      </w:ins>
      <m:oMath>
        <m:r>
          <m:t>s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with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nonzero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204)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ins w:id="49" w:author="PR Preview" w:date="2024-01-01T00:00:00Z">
        <w:r>
          <w:t xml:space="preserve">2.2 Supplement: An Algebraic Proof of the Balancing Results</w:t>
        </w:r>
      </w:ins>
    </w:p>
    <w:p>
      <w:pPr>
        <w:pStyle w:val="FirstParagraph"/>
      </w:pPr>
      <w:ins w:id="50" w:author="PR Preview" w:date="2024-01-01T00:00:00Z">
        <w:r>
          <w:t xml:space="preserve">The book argues graphically (Technical Point 15.1);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same results follow from iterated expectations.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ins w:id="53" w:author="PR Preview" w:date="2024-01-01T00:00:00Z">
        <w:r>
          <w:t xml:space="preserve">2.3 Using the Propensity Score</w:t>
        </w:r>
      </w:ins>
    </w:p>
    <w:p>
      <w:pPr>
        <w:pStyle w:val="FirstParagraph"/>
      </w:pPr>
      <w:ins w:id="54" w:author="PR Preview" w:date="2024-01-01T00:00:00Z">
        <w:r>
          <w:t xml:space="preserve">Under exchangeability and positivity given</w:t>
        </w:r>
      </w:ins>
      <w:ins w:id="5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4" w:author="PR Preview" w:date="2024-01-01T00:00:00Z">
        <w:r>
          <w:t xml:space="preserve">, we can estimate causal effects by</w:t>
        </w:r>
      </w:ins>
    </w:p>
    <w:p>
      <w:pPr>
        <w:pStyle w:val="Compact"/>
        <w:numPr>
          <w:ilvl w:val="0"/>
          <w:numId w:val="1008"/>
        </w:numPr>
      </w:pPr>
      <w:ins w:id="55" w:author="PR Preview" w:date="2024-01-01T00:00:00Z">
        <w:r>
          <w:t xml:space="preserve">stratification (including outcome regression) on</w:t>
        </w:r>
      </w:ins>
      <w:ins w:id="5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5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standardization over</w:t>
        </w:r>
      </w:ins>
      <w:ins w:id="5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6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matching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First estimate</w:t>
        </w:r>
      </w:ins>
      <w:ins w:id="58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from the data, then use the estimate in place of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bookmarkEnd w:id="24"/>
    <w:bookmarkEnd w:id="25"/>
    <w:bookmarkStart w:id="31" w:name="Xbb6a072e6c688c8763c21accee5e0976fa5155a"/>
    <w:p>
      <w:pPr>
        <w:pStyle w:val="Heading2"/>
      </w:pPr>
      <w:ins w:id="59" w:author="PR Preview" w:date="2024-01-01T00:00:00Z">
        <w:r>
          <w:t xml:space="preserve">3 15.3 Propensity Stratification and Standardization (pp. 202-204)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Under the identifying conditions, for each value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 the propensity score,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But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generally continuous, so almost no two individuals share a value</w:t>
        </w:r>
      </w:ins>
      <w:ins w:id="63" w:author="PR Preview" w:date="2024-01-01T00:00:00Z">
        <w:r>
          <w:t xml:space="preserve"> </w:t>
        </w:r>
      </w:ins>
      <m:oMath>
        <m:r>
          <m:t>s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(e.g., only one NHEFS individual had an estimated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 0.6563).</w:t>
        </w:r>
      </w:ins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ins w:id="65" w:author="PR Preview" w:date="2024-01-01T00:00:00Z">
        <w:r>
          <w:t xml:space="preserve">3.1 Stratifying on Deciles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ins w:id="66" w:author="PR Preview" w:date="2024-01-01T00:00:00Z">
        <w:r>
          <w:t xml:space="preserve">See Fine Point 15.2 (Section 15.5) for effect modification by the propensity score.</w:t>
        </w:r>
      </w:ins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ins w:id="68" w:author="PR Preview" w:date="2024-01-01T00:00:00Z">
        <w:r>
          <w:t xml:space="preserve">3.2 A Problem with Categorized Propensity Scores</w:t>
        </w:r>
      </w:ins>
    </w:p>
    <w:p>
      <w:pPr>
        <w:pStyle w:val="FirstParagraph"/>
      </w:pPr>
      <w:ins w:id="69" w:author="PR Preview" w:date="2024-01-01T00:00:00Z">
        <w:r>
          <w:t xml:space="preserve">Within a decile, the distribution of the continuous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may still differ between treated and untreated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(e.g., higher average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 the treated), so the groups may not be exchangeable within that decile.</w:t>
        </w:r>
      </w:ins>
    </w:p>
    <w:p>
      <w:pPr>
        <w:pStyle w:val="BodyText"/>
      </w:pPr>
      <w:ins w:id="70" w:author="PR Preview" w:date="2024-01-01T00:00:00Z">
        <w:r>
          <w:t xml:space="preserve">Remedy: use the estimated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as a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continuous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covariate in the outcome model</w:t>
        </w:r>
      </w:ins>
      <w:ins w:id="7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70" w:author="PR Preview" w:date="2024-01-01T00:00:00Z">
        <w:r>
          <w:t xml:space="preserve">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NHEFS (linear in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): 3.6 kg (95% CI: 2.7, 4.5).</w:t>
        </w:r>
      </w:ins>
    </w:p>
    <w:p>
      <w:pPr>
        <w:pStyle w:val="BodyText"/>
      </w:pPr>
      <w:ins w:id="71" w:author="PR Preview" w:date="2024-01-01T00:00:00Z">
        <w:r>
          <w:t xml:space="preserve">IP weighting and g-estimation never had this problem, because they used the numerical value of the estimated probability rather than a categorized version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(Hernán and Robins 2020, 203)</w:t>
        </w:r>
      </w:ins>
      <w:ins w:id="71" w:author="PR Preview" w:date="2024-01-01T00:00:00Z">
        <w:r>
          <w:t xml:space="preserve">.</w:t>
        </w:r>
      </w:ins>
    </w:p>
    <w:p>
      <w:pPr>
        <w:pStyle w:val="BodyText"/>
      </w:pPr>
      <w:ins w:id="72" w:author="PR Preview" w:date="2024-01-01T00:00:00Z">
        <w:r>
          <w:rPr>
            <w:b/>
            <w:bCs/>
          </w:rPr>
          <w:t xml:space="preserve">Caution</w:t>
        </w:r>
      </w:ins>
      <w:ins w:id="72" w:author="PR Preview" w:date="2024-01-01T00:00:00Z">
        <w:r>
          <w:t xml:space="preserve">: for a dichotomous treatment the IP weight denominator is not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itself but a function of it: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 and</w:t>
        </w:r>
      </w:ins>
      <w:ins w:id="7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).</w:t>
        </w:r>
      </w:ins>
    </w:p>
    <w:p>
      <w:pPr>
        <w:pStyle w:val="BodyText"/>
      </w:pPr>
      <w:ins w:id="73" w:author="PR Preview" w:date="2024-01-01T00:00:00Z">
        <w:r>
          <w:t xml:space="preserve">The outcome model now requires a correct specification of the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-</w:t>
        </w:r>
      </w:ins>
      <m:oMath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Because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one-dimensional, this is easy to protect with flexible terms such as cubic splines;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IP weighting and g-estimation were agnostic about that 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Note, though, that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itself must still be estimated from a model of</w:t>
        </w:r>
      </w:ins>
      <w:ins w:id="73" w:author="PR Preview" w:date="2024-01-01T00:00:00Z">
        <w:r>
          <w:t xml:space="preserve"> 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on the high-dimensional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as in IP weighting and g-estimation.</w:t>
        </w:r>
      </w:ins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ins w:id="75" w:author="PR Preview" w:date="2024-01-01T00:00:00Z">
        <w:r>
          <w:t xml:space="preserve">3.3 Standardizing over the Propensity Score</w:t>
        </w:r>
      </w:ins>
    </w:p>
    <w:p>
      <w:pPr>
        <w:pStyle w:val="FirstParagraph"/>
      </w:pPr>
      <w:ins w:id="76" w:author="PR Preview" w:date="2024-01-01T00:00:00Z">
        <w:r>
          <w:t xml:space="preserve">The outcome model on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estimates effects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b/>
            <w:bCs/>
          </w:rPr>
          <w:t xml:space="preserve">within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levels</w:t>
        </w:r>
      </w:ins>
      <w:ins w:id="76" w:author="PR Preview" w:date="2024-01-01T00:00:00Z">
        <w:r>
          <w:t xml:space="preserve"> </w:t>
        </w:r>
      </w:ins>
      <m:oMath>
        <m:r>
          <m:t>s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of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For the population average causal effect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6" w:author="PR Preview" w:date="2024-01-01T00:00:00Z">
        <w:r>
          <w:t xml:space="preserve">, standardize the fitted conditional means over the distribution of the estimated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Chapter 13 procedure with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 place of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ins w:id="78" w:author="PR Preview" w:date="2024-01-01T00:00:00Z">
        <w:r>
          <w:t xml:space="preserve">4 15.4 Propensity Matching (pp. 204-205)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t xml:space="preserve">Matching on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analogous to matching on a single continuous variable (Chapter 4).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All versions try to build a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matched population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which treated and untreated have the same distribution of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, and hence are exchangeable.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E.g., pair each treated individual with one (or more) untreated individuals with the same, or a close, propensity score.</w:t>
        </w:r>
      </w:ins>
    </w:p>
    <w:p>
      <w:pPr>
        <w:pStyle w:val="Compact"/>
        <w:numPr>
          <w:ilvl w:val="0"/>
          <w:numId w:val="1010"/>
        </w:numPr>
      </w:pPr>
      <w:ins w:id="82" w:author="PR Preview" w:date="2024-01-01T00:00:00Z">
        <w:r>
          <w:t xml:space="preserve">Under exchangeability and positivity given</w:t>
        </w:r>
      </w:ins>
      <w:ins w:id="8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2" w:author="PR Preview" w:date="2024-01-01T00:00:00Z">
        <w:r>
          <w:t xml:space="preserve">, association measures in the matched population consistently estimate the effect measures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 the matched population</w:t>
        </w:r>
      </w:ins>
      <w:ins w:id="82" w:author="PR Preview" w:date="2024-01-01T00:00:00Z">
        <w:r>
          <w:t xml:space="preserve">.</w:t>
        </w:r>
      </w:ins>
    </w:p>
    <w:p>
      <w:pPr>
        <w:pStyle w:val="FirstParagraph"/>
      </w:pPr>
      <w:ins w:id="83" w:author="PR Preview" w:date="2024-01-01T00:00:00Z">
        <w:r>
          <w:t xml:space="preserve">The matched population can be given the</w:t>
        </w:r>
      </w:ins>
      <w:ins w:id="8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distribution of the treated, of the untreated, or any other distribution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204)</w:t>
        </w:r>
      </w:ins>
      <w:ins w:id="83" w:author="PR Preview" w:date="2024-01-01T00:00:00Z">
        <w:r>
          <w:t xml:space="preserve">.</w:t>
        </w:r>
      </w:ins>
    </w:p>
    <w:p>
      <w:pPr>
        <w:pStyle w:val="BodyText"/>
      </w:pPr>
      <w:ins w:id="84" w:author="PR Preview" w:date="2024-01-01T00:00:00Z">
        <w:r>
          <w:t xml:space="preserve">Variance estimation for matched estimators used to be an open problem;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Abadie and Imbens (2006) solved it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204)</w:t>
        </w:r>
      </w:ins>
      <w:ins w:id="84" w:author="PR Preview" w:date="2024-01-01T00:00:00Z">
        <w:r>
          <w:t xml:space="preserve">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2" w:name="defining-closeness"/>
    <w:p>
      <w:pPr>
        <w:pStyle w:val="Heading3"/>
      </w:pPr>
      <w:ins w:id="86" w:author="PR Preview" w:date="2024-01-01T00:00:00Z">
        <w:r>
          <w:t xml:space="preserve">4.1 Defining Closeness</w:t>
        </w:r>
      </w:ins>
    </w:p>
    <w:p>
      <w:pPr>
        <w:pStyle w:val="FirstParagraph"/>
      </w:pPr>
      <w:ins w:id="87" w:author="PR Preview" w:date="2024-01-01T00:00:00Z">
        <w:r>
          <w:t xml:space="preserve">Exact matches on a continuous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are rare, so we match on 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close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value,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e.g., untreated individuals within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0.05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of the treated individual’s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(e.g., a treated individual with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could be matched to an untreated individual with 0.6579).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Bias-variance trade-off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criteria too loose: the</w:t>
        </w:r>
      </w:ins>
      <w:ins w:id="8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distribution differs between matched treated and untreated, so exchangeability fails;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criteria too tight: many individuals are excluded;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approximate exchangeability, but wider confidence intervals.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matching-and-positivity"/>
    <w:p>
      <w:pPr>
        <w:pStyle w:val="Heading3"/>
      </w:pPr>
      <w:ins w:id="92" w:author="PR Preview" w:date="2024-01-01T00:00:00Z">
        <w:r>
          <w:t xml:space="preserve">4.2 Matching and Positivity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In NHEFS, the estimated</w:t>
        </w:r>
      </w:ins>
      <w:ins w:id="9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distributions overlapped over most of the range;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only 2 treated individuals had values above those of every untreated individual.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Outcome regression on</w:t>
        </w:r>
      </w:ins>
      <w:ins w:id="9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(Section 15.3) kept them, implicitly treating the lack of comparable untreated individuals as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random nonpositivity</w:t>
        </w:r>
      </w:ins>
      <w:ins w:id="9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t xml:space="preserve">Most matched analyses would drop them.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Matching does not distinguish random from structural nonpositivity.</w:t>
        </w:r>
      </w:ins>
    </w:p>
    <w:p>
      <w:pPr>
        <w:pStyle w:val="FirstParagraph"/>
      </w:pPr>
      <w:ins w:id="96" w:author="PR Preview" w:date="2024-01-01T00:00:00Z">
        <w:r>
          <w:t xml:space="preserve">The book also states this count as a percentage of the study population (0.01%);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that percentage is not reproduced here because it is inconsistent with the counts: 2 individuals are about 0.1% of a study population of roughly 1,600.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o-is-in-the-matched-population"/>
    <w:p>
      <w:pPr>
        <w:pStyle w:val="Heading3"/>
      </w:pPr>
      <w:ins w:id="98" w:author="PR Preview" w:date="2024-01-01T00:00:00Z">
        <w:r>
          <w:t xml:space="preserve">4.3 Who Is in the Matched Population?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In theory, matching targets a well-characterized population: matching every treated individual and dropping unmatched untreated estimates the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effect in the treated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(Fine Point 15.2).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In practice, treated individuals without a close match are excluded too, so the estimate refers to a subset defined by the values of the estimated</w:t>
        </w:r>
      </w:ins>
      <w:ins w:id="10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found matches.</w:t>
        </w:r>
      </w:ins>
    </w:p>
    <w:p>
      <w:pPr>
        <w:pStyle w:val="FirstParagraph"/>
      </w:pPr>
      <w:ins w:id="101" w:author="PR Preview" w:date="2024-01-01T00:00:00Z">
        <w:r>
          <w:t xml:space="preserve">Restricting to, say, estimated</w:t>
        </w:r>
      </w:ins>
      <w:ins w:id="10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yields a population that is hard to describe: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“individuals do not come with a propensity score tattooed on their forehead”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205)</w:t>
        </w:r>
      </w:ins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transportability to other populations is hard to judge.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restrict-on-real-world-variables-instead"/>
    <w:p>
      <w:pPr>
        <w:pStyle w:val="Heading3"/>
      </w:pPr>
      <w:ins w:id="103" w:author="PR Preview" w:date="2024-01-01T00:00:00Z">
        <w:r>
          <w:t xml:space="preserve">4.4 Restrict on Real-World Variables Instead</w:t>
        </w:r>
      </w:ins>
    </w:p>
    <w:p>
      <w:pPr>
        <w:pStyle w:val="FirstParagraph"/>
      </w:pPr>
      <w:ins w:id="104" w:author="PR Preview" w:date="2024-01-01T00:00:00Z">
        <w:r>
          <w:t xml:space="preserve">In NHEFS, the 2 treated individuals with estimated</w:t>
        </w:r>
      </w:ins>
      <w:ins w:id="10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were the only participants over age 50 who had smoked for fewer than 10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Excluding them gives an estimate for</w:t>
        </w:r>
      </w:ins>
    </w:p>
    <w:p>
      <w:pPr>
        <w:pStyle w:val="Compact"/>
        <w:numPr>
          <w:ilvl w:val="0"/>
          <w:numId w:val="1014"/>
        </w:numPr>
      </w:pPr>
      <w:ins w:id="105" w:author="PR Preview" w:date="2024-01-01T00:00:00Z">
        <w:r>
          <w:t xml:space="preserve">smokers under 50, and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smokers 50 and over who had smoked for at least 10 years,</w:t>
        </w:r>
      </w:ins>
    </w:p>
    <w:p>
      <w:pPr>
        <w:pStyle w:val="FirstParagraph"/>
      </w:pPr>
      <w:ins w:id="107" w:author="PR Preview" w:date="2024-01-01T00:00:00Z">
        <w:r>
          <w:t xml:space="preserve">which is a far more natural target population than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“estimated</w:t>
        </w:r>
      </w:ins>
      <w:ins w:id="10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7" w:author="PR Preview" w:date="2024-01-01T00:00:00Z">
        <w:r>
          <w:t xml:space="preserve">”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205)</w:t>
        </w:r>
      </w:ins>
      <w:ins w:id="107" w:author="PR Preview" w:date="2024-01-01T00:00:00Z">
        <w:r>
          <w:t xml:space="preserve">.</w:t>
        </w:r>
      </w:ins>
    </w:p>
    <w:p>
      <w:pPr>
        <w:pStyle w:val="BodyText"/>
      </w:pPr>
      <w:ins w:id="108" w:author="PR Preview" w:date="2024-01-01T00:00:00Z">
        <w:r>
          <w:t xml:space="preserve">Using propensity scores to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find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region of overlap can be useful,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but restricting the study population to that region is a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“lazy”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way to secure positivity: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automatic positivity of matching must be weighed against the difficulty of assessing transportability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205)</w:t>
        </w:r>
      </w:ins>
      <w:ins w:id="108" w:author="PR Preview" w:date="2024-01-01T00:00:00Z">
        <w:r>
          <w:t xml:space="preserve">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Even if everyone’s propensity score were visible, the population could remain ill-characterized, because the same propensity score value can mean different things in different settings.</w:t>
        </w:r>
      </w:ins>
    </w:p>
    <w:bookmarkEnd w:id="35"/>
    <w:bookmarkEnd w:id="36"/>
    <w:bookmarkStart w:id="45" w:name="X2b8f3fbf6f944863a7f116e72fd1bfc77dfd929"/>
    <w:p>
      <w:pPr>
        <w:pStyle w:val="Heading2"/>
      </w:pPr>
      <w:ins w:id="109" w:author="PR Preview" w:date="2024-01-01T00:00:00Z">
        <w:r>
          <w:t xml:space="preserve">5 15.5 Propensity Models, Structural Models, Predictive Models (pp. 205-208)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1" w:author="PR Preview" w:date="2024-01-01T00:00:00Z">
        <w:r>
          <w:t xml:space="preserve">Part II used two kinds of models for causal inference.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112" w:author="PR Preview" w:date="2024-01-01T00:00:00Z">
        <w:r>
          <w:t xml:space="preserve">Propensity models have been used for matching and stratification (this chapter), IP weighting (Chapter 12), and g-estimation (Chapter 14).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Their parameters lack a causal interpretation because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associated for many reasons: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association reflects the effect of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on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under the book’s Figure 7.1, but not under Figures 7.2 and 7.3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205)</w:t>
        </w:r>
      </w:ins>
      <w:ins w:id="112" w:author="PR Preview" w:date="2024-01-01T00:00:00Z">
        <w:r>
          <w:t xml:space="preserve">.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Start w:id="40" w:name="two-classes-of-structural-models"/>
    <w:p>
      <w:pPr>
        <w:pStyle w:val="Heading3"/>
      </w:pPr>
      <w:ins w:id="114" w:author="PR Preview" w:date="2024-01-01T00:00:00Z">
        <w:r>
          <w:t xml:space="preserve">5.1 Two Classes of Structural Models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rPr>
            <w:b/>
            <w:bCs/>
          </w:rPr>
          <w:t xml:space="preserve">Marginal structural models</w:t>
        </w:r>
      </w:ins>
      <w:ins w:id="115" w:author="PR Preview" w:date="2024-01-01T00:00:00Z">
        <w:r>
          <w:t xml:space="preserve">: parameters for treatment, for chosen effect modifiers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, and for</w:t>
        </w:r>
      </w:ins>
      <w:ins w:id="1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product terms.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reflects only the investigator’s interest in effect modification (Section 12.5).</w:t>
        </w:r>
      </w:ins>
    </w:p>
    <w:p>
      <w:pPr>
        <w:pStyle w:val="Compact"/>
        <w:numPr>
          <w:ilvl w:val="1"/>
          <w:numId w:val="1017"/>
        </w:numPr>
      </w:pPr>
      <w:ins w:id="116" w:author="PR Preview" w:date="2024-01-01T00:00:00Z">
        <w:r>
          <w:t xml:space="preserve">No</w:t>
        </w:r>
      </w:ins>
      <w:ins w:id="116" w:author="PR Preview" w:date="2024-01-01T00:00:00Z">
        <w:r>
          <w:t xml:space="preserve"> </w:t>
        </w:r>
      </w:ins>
      <m:oMath>
        <m:r>
          <m:t>V</m:t>
        </m:r>
      </m:oMath>
      <w:ins w:id="116" w:author="PR Preview" w:date="2024-01-01T00:00:00Z">
        <w:r>
          <w:t xml:space="preserve">: truly marginal.</w:t>
        </w:r>
      </w:ins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(all covariates): a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faux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marginal structural model, which is what outcome regression (Section 15.1) estimates.</w:t>
        </w:r>
      </w:ins>
    </w:p>
    <w:p>
      <w:pPr>
        <w:pStyle w:val="Compact"/>
        <w:numPr>
          <w:ilvl w:val="0"/>
          <w:numId w:val="1016"/>
        </w:numPr>
      </w:pPr>
      <w:ins w:id="118" w:author="PR Preview" w:date="2024-01-01T00:00:00Z">
        <w:r>
          <w:rPr>
            <w:b/>
            <w:bCs/>
          </w:rPr>
          <w:t xml:space="preserve">Structural nested models</w:t>
        </w:r>
      </w:ins>
      <w:ins w:id="118" w:author="PR Preview" w:date="2024-01-01T00:00:00Z">
        <w:r>
          <w:t xml:space="preserve">: parameters for treatment and for</w:t>
        </w:r>
      </w:ins>
      <w:ins w:id="11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product terms for those variables in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that are effect modifiers.</w:t>
        </w:r>
      </w:ins>
    </w:p>
    <w:p>
      <w:pPr>
        <w:pStyle w:val="FirstParagraph"/>
      </w:pPr>
      <w:ins w:id="119" w:author="PR Preview" w:date="2024-01-01T00:00:00Z">
        <w:r>
          <w:t xml:space="preserve">See Fine Point 14.1 of the book for the relation between structural nested models and faux semiparametric marginal structural models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(Hernán and Robins 2020, 206)</w:t>
        </w:r>
      </w:ins>
      <w:ins w:id="119" w:author="PR Preview" w:date="2024-01-01T00:00:00Z">
        <w:r>
          <w:t xml:space="preserve">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ins w:id="121" w:author="PR Preview" w:date="2024-01-01T00:00:00Z">
        <w:r>
          <w:t xml:space="preserve">5.2 Causal Versus Predictive Uses of Outcome Regression</w:t>
        </w:r>
      </w:ins>
    </w:p>
    <w:p>
      <w:pPr>
        <w:pStyle w:val="FirstParagraph"/>
      </w:pPr>
      <w:ins w:id="122" w:author="PR Preview" w:date="2024-01-01T00:00:00Z">
        <w:r>
          <w:t xml:space="preserve">Outcome regression is also widely used for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prediction</w:t>
        </w:r>
      </w:ins>
      <w:ins w:id="12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9"/>
        </w:numPr>
      </w:pPr>
      <w:ins w:id="123" w:author="PR Preview" w:date="2024-01-01T00:00:00Z">
        <w:r>
          <w:t xml:space="preserve">online retailers predicting who will buy;</w:t>
        </w:r>
      </w:ins>
    </w:p>
    <w:p>
      <w:pPr>
        <w:pStyle w:val="Compact"/>
        <w:numPr>
          <w:ilvl w:val="0"/>
          <w:numId w:val="1019"/>
        </w:numPr>
      </w:pPr>
      <w:ins w:id="124" w:author="PR Preview" w:date="2024-01-01T00:00:00Z">
        <w:r>
          <w:t xml:space="preserve">clinical algorithms identifying patients at high risk.</w:t>
        </w:r>
      </w:ins>
    </w:p>
    <w:p>
      <w:pPr>
        <w:pStyle w:val="FirstParagraph"/>
      </w:pPr>
      <w:ins w:id="125" w:author="PR Preview" w:date="2024-01-01T00:00:00Z">
        <w:r>
          <w:t xml:space="preserve">There, no variable is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“treatment”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 the parameters need not have any causal interpretation.</w:t>
        </w:r>
      </w:ins>
    </w:p>
    <w:p>
      <w:pPr>
        <w:pStyle w:val="BodyText"/>
      </w:pPr>
      <w:ins w:id="126" w:author="PR Preview" w:date="2024-01-01T00:00:00Z">
        <w:r>
          <w:t xml:space="preserve">Example from the book’s margin: Facebook Likes predict sexual orientation, political views, and personality traits (Kosinski et al. 2013, as cited in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Hernán and Robins (2020, 206)</w:t>
        </w:r>
      </w:ins>
      <w:ins w:id="126" w:author="PR Preview" w:date="2024-01-01T00:00:00Z">
        <w:r>
          <w:t xml:space="preserve">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that is prediction, not necessarily causation.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3" w:name="X11c077b3ea3320e82c32939cbcc6f310e74a00f"/>
    <w:p>
      <w:pPr>
        <w:pStyle w:val="Heading3"/>
      </w:pPr>
      <w:ins w:id="128" w:author="PR Preview" w:date="2024-01-01T00:00:00Z">
        <w:r>
          <w:t xml:space="preserve">5.3 Variable Selection: Prediction Tools Misapplied</w:t>
        </w:r>
      </w:ins>
    </w:p>
    <w:p>
      <w:pPr>
        <w:pStyle w:val="FirstParagraph"/>
      </w:pPr>
      <w:ins w:id="129" w:author="PR Preview" w:date="2024-01-01T00:00:00Z">
        <w:r>
          <w:t xml:space="preserve">Forward selection, backward elimination, stepwise selection, and machine learning are built to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improve prediction</w:t>
        </w:r>
      </w:ins>
      <w:ins w:id="129" w:author="PR Preview" w:date="2024-01-01T00:00:00Z">
        <w:r>
          <w:t xml:space="preserve">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Applied to propensity or structural models, they can add superfluous or harmful covariates, causing</w:t>
        </w:r>
      </w:ins>
    </w:p>
    <w:p>
      <w:pPr>
        <w:pStyle w:val="Compact"/>
        <w:numPr>
          <w:ilvl w:val="0"/>
          <w:numId w:val="1020"/>
        </w:numPr>
      </w:pPr>
      <w:ins w:id="130" w:author="PR Preview" w:date="2024-01-01T00:00:00Z">
        <w:r>
          <w:t xml:space="preserve">inflated variances, and</w:t>
        </w:r>
      </w:ins>
    </w:p>
    <w:p>
      <w:pPr>
        <w:pStyle w:val="Compact"/>
        <w:numPr>
          <w:ilvl w:val="0"/>
          <w:numId w:val="1020"/>
        </w:numPr>
      </w:pPr>
      <w:ins w:id="131" w:author="PR Preview" w:date="2024-01-01T00:00:00Z">
        <w:r>
          <w:t xml:space="preserve">greater bias.</w:t>
        </w:r>
      </w:ins>
    </w:p>
    <w:p>
      <w:pPr>
        <w:pStyle w:val="FirstParagraph"/>
      </w:pPr>
      <w:ins w:id="132" w:author="PR Preview" w:date="2024-01-01T00:00:00Z">
        <w:r>
          <w:t xml:space="preserve">The mistaken belief behind this: that a propensity model should predict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as well as possible.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It need not; it only needs to include the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guarantee exchangeability.</w:t>
        </w:r>
      </w:ins>
    </w:p>
    <w:p>
      <w:pPr>
        <w:pStyle w:val="BodyText"/>
      </w:pPr>
      <w:ins w:id="133" w:author="PR Preview" w:date="2024-01-01T00:00:00Z">
        <w:r>
          <w:t xml:space="preserve">Reporting predictive measures such as Mallows’s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propensity models is common, but their relevance for causal inference is questionable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207)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Covariates strongly associated with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but not needed for exchangeability do not reduce bias;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including them can yield very large variances or even amplify existing bias.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ins w:id="135" w:author="PR Preview" w:date="2024-01-01T00:00:00Z">
        <w:r>
          <w:t xml:space="preserve">In the limit of perfect prediction, every 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and every untreated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: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there is no overlap and the analysis is impossible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(Hernán and Robins 2020, 207)</w:t>
        </w:r>
      </w:ins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44" w:name="X0f44b93a9159b30b472d6c73719fdf994fdbee8"/>
    <w:p>
      <w:pPr>
        <w:pStyle w:val="Heading3"/>
      </w:pPr>
      <w:ins w:id="137" w:author="PR Preview" w:date="2024-01-01T00:00:00Z">
        <w:r>
          <w:t xml:space="preserve">5.4 Self-Inflicted Bias and Model Specification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t xml:space="preserve">Including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colliders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can cause systematic bias, even though colliders may be good predictors.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Including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instruments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(Chapter 16) can amplify bias from unmeasured confounders.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Chapter 18 returns to these issues.</w:t>
        </w:r>
      </w:ins>
    </w:p>
    <w:p>
      <w:pPr>
        <w:pStyle w:val="FirstParagraph"/>
      </w:pPr>
      <w:ins w:id="141" w:author="PR Preview" w:date="2024-01-01T00:00:00Z">
        <w:r>
          <w:t xml:space="preserve">Both propensity and structural models require a correctly specified functional form for the covariates (flexible terms such as cubic splines help),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plus exchangeability, positivity, and well-defined interventions.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Chapter 16 presents a method that does not require exchangeability of treatment.</w:t>
        </w:r>
      </w:ins>
    </w:p>
    <w:bookmarkEnd w:id="44"/>
    <w:bookmarkEnd w:id="45"/>
    <w:bookmarkStart w:id="49" w:name="summary"/>
    <w:p>
      <w:pPr>
        <w:pStyle w:val="Heading2"/>
      </w:pPr>
      <w:ins w:id="142" w:author="PR Preview" w:date="2024-01-01T00:00:00Z">
        <w:r>
          <w:t xml:space="preserve">6 Summary</w:t>
        </w:r>
      </w:ins>
    </w:p>
    <w:p>
      <w:ins w:id="14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ins w:id="144" w:author="PR Preview" w:date="2024-01-01T00:00:00Z">
        <w:r>
          <w:t xml:space="preserve">NHEFS estimates of the effect of smoking cessation on weight gain (kg):</w:t>
        </w:r>
      </w:ins>
    </w:p>
    <w:p>
      <w:pPr>
        <w:pStyle w:val="Compact"/>
        <w:numPr>
          <w:ilvl w:val="0"/>
          <w:numId w:val="1023"/>
        </w:numPr>
      </w:pPr>
      <w:ins w:id="145" w:author="PR Preview" w:date="2024-01-01T00:00:00Z">
        <w:r>
          <w:t xml:space="preserve">outcome regression, no product terms: 3.5 (2.6, 4.3);</w:t>
        </w:r>
      </w:ins>
    </w:p>
    <w:p>
      <w:pPr>
        <w:pStyle w:val="Compact"/>
        <w:numPr>
          <w:ilvl w:val="0"/>
          <w:numId w:val="1023"/>
        </w:numPr>
      </w:pPr>
      <w:ins w:id="146" w:author="PR Preview" w:date="2024-01-01T00:00:00Z">
        <w:r>
          <w:t xml:space="preserve">propensity deciles, no product terms: 3.5 (2.6, 4.4);</w:t>
        </w:r>
      </w:ins>
    </w:p>
    <w:p>
      <w:pPr>
        <w:pStyle w:val="Compact"/>
        <w:numPr>
          <w:ilvl w:val="0"/>
          <w:numId w:val="1023"/>
        </w:numPr>
      </w:pPr>
      <w:ins w:id="147" w:author="PR Preview" w:date="2024-01-01T00:00:00Z">
        <w:r>
          <w:t xml:space="preserve">continuous propensity score: 3.6 (2.7, 4.5);</w:t>
        </w:r>
      </w:ins>
    </w:p>
    <w:p>
      <w:pPr>
        <w:pStyle w:val="Compact"/>
        <w:numPr>
          <w:ilvl w:val="0"/>
          <w:numId w:val="1023"/>
        </w:numPr>
      </w:pPr>
      <w:ins w:id="148" w:author="PR Preview" w:date="2024-01-01T00:00:00Z">
        <w:r>
          <w:t xml:space="preserve">standardized over the propensity score: 3.6 (2.7, 4.6).</w:t>
        </w:r>
      </w:ins>
    </w:p>
    <w:p>
      <w:pPr>
        <w:pStyle w:val="FirstParagraph"/>
      </w:pPr>
      <w:ins w:id="149" w:author="PR Preview" w:date="2024-01-01T00:00:00Z">
        <w:r>
          <w:rPr>
            <w:b/>
            <w:bCs/>
          </w:rPr>
          <w:t xml:space="preserve">Takeaways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(Hernán and Robins 2020, 199–208)</w:t>
        </w:r>
      </w:ins>
      <w:ins w:id="14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4"/>
        </w:numPr>
      </w:pPr>
      <w:ins w:id="150" w:author="PR Preview" w:date="2024-01-01T00:00:00Z">
        <w:r>
          <w:t xml:space="preserve">Outcome regression and propensity score methods need the same identifying conditions as the g-methods, plus correct nuisance models.</w:t>
        </w:r>
      </w:ins>
    </w:p>
    <w:p>
      <w:pPr>
        <w:pStyle w:val="Compact"/>
        <w:numPr>
          <w:ilvl w:val="0"/>
          <w:numId w:val="1024"/>
        </w:numPr>
      </w:pPr>
      <w:ins w:id="151" w:author="PR Preview" w:date="2024-01-01T00:00:00Z">
        <w:r>
          <w:t xml:space="preserve">The propensity score balances measured covariates only.</w:t>
        </w:r>
      </w:ins>
    </w:p>
    <w:p>
      <w:pPr>
        <w:pStyle w:val="Compact"/>
        <w:numPr>
          <w:ilvl w:val="0"/>
          <w:numId w:val="1024"/>
        </w:numPr>
      </w:pPr>
      <w:ins w:id="152" w:author="PR Preview" w:date="2024-01-01T00:00:00Z">
        <w:r>
          <w:t xml:space="preserve">Matching guarantees positivity automatically but can produce a target population that is hard to characterize;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restricting on real-world variables is preferable.</w:t>
        </w:r>
      </w:ins>
    </w:p>
    <w:p>
      <w:pPr>
        <w:pStyle w:val="Compact"/>
        <w:numPr>
          <w:ilvl w:val="0"/>
          <w:numId w:val="1024"/>
        </w:numPr>
      </w:pPr>
      <w:ins w:id="153" w:author="PR Preview" w:date="2024-01-01T00:00:00Z">
        <w:r>
          <w:t xml:space="preserve">Propensity models should include the variables needed for exchangeability, not the best predictors of treatment.</w:t>
        </w:r>
      </w:ins>
    </w:p>
    <w:p>
      <w:pPr>
        <w:pStyle w:val="Compact"/>
        <w:numPr>
          <w:ilvl w:val="0"/>
          <w:numId w:val="1024"/>
        </w:numPr>
      </w:pPr>
      <w:ins w:id="154" w:author="PR Preview" w:date="2024-01-01T00:00:00Z">
        <w:r>
          <w:t xml:space="preserve">Unlike the g-methods, these methods do not extend readily to time-varying treatments (Part III).</w:t>
        </w:r>
      </w:ins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2026-10-02T01:57:57Z</dcterms:created>
  <dcterms:modified xsi:type="dcterms:W3CDTF">2026-10-02T01:57:57Z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