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6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and, with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measured in whole months (</w:t>
            </w:r>
            <w:hyperlink w:anchor="rem-discrete-time-hazard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), adding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exactly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 staggered entry.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This is plausible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 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 every earlier month.</w:t>
            </w:r>
            <w:r>
              <w:t xml:space="preserve"> </w:t>
            </w:r>
            <w:r>
              <w:t xml:space="preserve">So these people actually experienced the no-censoring regime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their observed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the values that regime would produce.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r>
        <w:t xml:space="preserve">The range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prp-survival-random-censoring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covers the same times as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elsewhere in this chapter.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r>
        <w:t xml:space="preserve">In the NHEFS, the estimated weights averaged 1, as they should, and ranged from 0.33 to 4.21.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 this means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t>​</m:t>
        </m:r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69" Target="media/rId69.png" /><Relationship Type="http://schemas.openxmlformats.org/officeDocument/2006/relationships/image" Id="rId30" Target="media/rId30.png" /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2026-10-19T10:05:44Z</dcterms:created>
  <dcterms:modified xsi:type="dcterms:W3CDTF">2026-10-19T10:05:44Z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