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(plus consistency),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 a consistent estimator of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2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 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is consistent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correct, without our knowing which.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6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1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(The AIPW estimator is doubly robust)</w:t>
            </w:r>
            <w:r>
              <w:t xml:space="preserve"> </w:t>
            </w:r>
            <w:r>
              <w:t xml:space="preserve">Assume exchangeability, positivity and consistency,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 Technical Point 13.2.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probability limits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{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 and its asymptotic bias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t xml:space="preserve">(treatment model correct)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(outcome model correct).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Then, subtracting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bias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1"/>
    <w:bookmarkEnd w:id="62"/>
    <w:bookmarkStart w:id="69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3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5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4"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5"/>
    <w:bookmarkStart w:id="68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8"/>
    <w:bookmarkEnd w:id="69"/>
    <w:bookmarkStart w:id="75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74" w:name="refs"/>
    <w:bookmarkStart w:id="70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0"/>
    <w:bookmarkStart w:id="7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2"/>
    <w:bookmarkStart w:id="7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2026-10-02T17:43:48Z</dcterms:created>
  <dcterms:modified xsi:type="dcterms:W3CDTF">2026-10-02T17:43:48Z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