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ins w:id="1017" w:author="PR Preview" w:date="2024-01-01T00:00:00Z">
        <w:r>
          <w:t xml:space="preserve">The smallest diagram that shows treatment-confounder feedback in a two-time-point</w:t>
        </w:r>
      </w:ins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sequentially randomized trial is the book’s Figure 20.3.</w:t>
        </w:r>
      </w:ins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1020" w:author="PR Preview" w:date="2024-01-01T00:00:00Z">
        <w:r>
          <w:t xml:space="preserve">no baseline node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20" w:author="PR Preview" w:date="2024-01-01T00:00:00Z">
        <w:r>
          <w:t xml:space="preserve">: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marginally randomized and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randomized conditional on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021" w:author="PR Preview" w:date="2024-01-01T00:00:00Z">
        <w:r>
          <w:t xml:space="preserve">no unmeasured</w:t>
        </w:r>
      </w:ins>
      <w:ins w:id="10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022" w:author="PR Preview" w:date="2024-01-01T00:00:00Z">
        <w:r>
          <w:t xml:space="preserve">no arrow</w:t>
        </w:r>
      </w:ins>
      <w:ins w:id="10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022" w:author="PR Preview" w:date="2024-01-01T00:00:00Z">
        <w:r>
          <w:t xml:space="preserve">: treatment at time 1 is assigned using</w:t>
        </w:r>
      </w:ins>
      <w:ins w:id="10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2" w:author="PR Preview" w:date="2024-01-01T00:00:00Z">
        <w:r>
          <w:t xml:space="preserve"> </w:t>
        </w:r>
      </w:ins>
      <w:ins w:id="10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1023" w:author="PR Preview" w:date="2024-01-01T00:00:00Z">
        <w:r>
          <w:t xml:space="preserve">no arrows from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3" w:author="PR Preview" w:date="2024-01-01T00:00:00Z">
        <w:r>
          <w:t xml:space="preserve">,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3" w:author="PR Preview" w:date="2024-01-01T00:00:00Z">
        <w:r>
          <w:t xml:space="preserve">, or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3" w:author="PR Preview" w:date="2024-01-01T00:00:00Z">
        <w:r>
          <w:t xml:space="preserve"> </w:t>
        </w:r>
      </w:ins>
      <w:ins w:id="1023" w:author="PR Preview" w:date="2024-01-01T00:00:00Z">
        <w:r>
          <w:t xml:space="preserve">into</w:t>
        </w:r>
      </w:ins>
      <w:ins w:id="1023" w:author="PR Preview" w:date="2024-01-01T00:00:00Z">
        <w:r>
          <w:t xml:space="preserve"> </w:t>
        </w:r>
      </w:ins>
      <m:oMath>
        <m:r>
          <m:t>Y</m:t>
        </m:r>
      </m:oMath>
      <w:ins w:id="1023" w:author="PR Preview" w:date="2024-01-01T00:00:00Z">
        <w:r>
          <w:t xml:space="preserve">: the</w:t>
        </w:r>
      </w:ins>
      <w:ins w:id="1023" w:author="PR Preview" w:date="2024-01-01T00:00:00Z">
        <w:r>
          <w:t xml:space="preserve"> </w:t>
        </w:r>
      </w:ins>
      <w:ins w:id="1023" w:author="PR Preview" w:date="2024-01-01T00:00:00Z">
        <w:r>
          <w:rPr>
            <w:b/>
            <w:bCs/>
          </w:rPr>
          <w:t xml:space="preserve">sharp null</w:t>
        </w:r>
      </w:ins>
      <w:ins w:id="1023" w:author="PR Preview" w:date="2024-01-01T00:00:00Z">
        <w:r>
          <w:t xml:space="preserve"> </w:t>
        </w:r>
      </w:ins>
      <w:ins w:id="1023" w:author="PR Preview" w:date="2024-01-01T00:00:00Z">
        <w:r>
          <w:t xml:space="preserve">holds.</w:t>
        </w:r>
      </w:ins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ins w:id="1025" w:author="PR Preview" w:date="2024-01-01T00:00:00Z">
        <w:r>
          <w:t xml:space="preserve">Because Figure 20.3 has no forward-directed path from</w:t>
        </w:r>
      </w:ins>
      <w:ins w:id="10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or</w:t>
        </w:r>
      </w:ins>
      <w:ins w:id="10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to</w:t>
        </w:r>
      </w:ins>
      <w:ins w:id="1025" w:author="PR Preview" w:date="2024-01-01T00:00:00Z">
        <w:r>
          <w:t xml:space="preserve"> </w:t>
        </w:r>
      </w:ins>
      <m:oMath>
        <m:r>
          <m:t>Y</m:t>
        </m:r>
      </m:oMath>
      <w:ins w:id="1025" w:author="PR Preview" w:date="2024-01-01T00:00:00Z">
        <w:r>
          <w:t xml:space="preserve">,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the true average causal effect of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“always treat”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versus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“never treat”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27" w:author="PR Preview" w:date="2024-01-01T00:00:00Z">
        <w:r>
          <w:t xml:space="preserve">There are no arrows from the unmeasured</w:t>
        </w:r>
      </w:ins>
      <w:ins w:id="10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into the treatments,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so Figure 20.3 can represent a sequentially randomized trial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(or an observational study with no unmeasured confounding),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and Chapter 19’s results say the observed data on</w:t>
        </w:r>
      </w:ins>
      <w:ins w:id="10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ins w:id="1043" w:author="PR Preview" w:date="2024-01-01T00:00:00Z">
        <w:r>
          <w:rPr>
            <w:b/>
            <w:bCs/>
          </w:rPr>
          <w:t xml:space="preserve">Effect of</w:t>
        </w:r>
      </w:ins>
      <w:ins w:id="10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43" w:author="PR Preview" w:date="2024-01-01T00:00:00Z">
        <w:r>
          <w:rPr>
            <w:b/>
            <w:bCs/>
          </w:rPr>
          <w:t xml:space="preserve">.</w:t>
        </w:r>
      </w:ins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In every stratum of</w:t>
        </w:r>
      </w:ins>
      <w:ins w:id="10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3" w:author="PR Preview" w:date="2024-01-01T00:00:00Z">
        <w:r>
          <w:t xml:space="preserve">, the mean outcome is the same for</w:t>
        </w:r>
      </w:ins>
      <w:ins w:id="10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and</w:t>
        </w:r>
      </w:ins>
      <w:ins w:id="10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(rows 1 vs 2, 3 vs 4, 5 vs 6, 7 vs 8).</w:t>
        </w:r>
      </w:ins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69" w:author="PR Preview" w:date="2024-01-01T00:00:00Z">
        <w:r>
          <w:t xml:space="preserve">All three identifiability conditions hold in Table 20.1;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 unmeasured</w:t>
        </w:r>
      </w:ins>
      <w:ins w:id="10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(immunosuppression level) is not needed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because we have data on</w:t>
        </w:r>
      </w:ins>
      <w:ins w:id="10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69" w:author="PR Preview" w:date="2024-01-01T00:00:00Z">
        <w:r>
          <w:t xml:space="preserve">.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Yet neither analysis gave the correct answer.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 problem is the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rPr>
            <w:b/>
            <w:bCs/>
          </w:rPr>
          <w:t xml:space="preserve">adjustment method</w:t>
        </w:r>
      </w:ins>
      <w:ins w:id="1069" w:author="PR Preview" w:date="2024-01-01T00:00:00Z">
        <w:r>
          <w:t xml:space="preserve">: stratification cannot handle treatment-confounder feedback.</w:t>
        </w:r>
      </w:ins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ins w:id="1072" w:author="PR Preview" w:date="2024-01-01T00:00:00Z">
        <w:r>
          <w:t xml:space="preserve">Stratifying on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means estimating the treatment-outcome association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separately in the subsets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(high CD4) and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(low CD4).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But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is affected by prior treatment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2" w:author="PR Preview" w:date="2024-01-01T00:00:00Z">
        <w:r>
          <w:t xml:space="preserve">,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so it is a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rPr>
            <w:b/>
            <w:bCs/>
          </w:rPr>
          <w:t xml:space="preserve">collider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1074" w:author="PR Preview" w:date="2024-01-01T00:00:00Z">
        <w:r>
          <w:t xml:space="preserve">(the book’s Figure 20.5: Figure 20.3 with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conditioned on).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Conditioning on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opens this path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 induces a noncausal association between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,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 hence between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</w:t>
        </w:r>
      </w:ins>
      <w:ins w:id="1074" w:author="PR Preview" w:date="2024-01-01T00:00:00Z">
        <w:r>
          <w:t xml:space="preserve"> </w:t>
        </w:r>
      </w:ins>
      <m:oMath>
        <m:r>
          <m:t>Y</m:t>
        </m:r>
      </m:oMath>
      <w:ins w:id="1074" w:author="PR Preview" w:date="2024-01-01T00:00:00Z">
        <w:r>
          <w:t xml:space="preserve">, within levels of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.</w:t>
        </w:r>
      </w:ins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ins w:id="1078" w:author="PR Preview" w:date="2024-01-01T00:00:00Z">
        <w:r>
          <w:t xml:space="preserve">The same bias arises when the confounder shares an unmeasured cause</w:t>
        </w:r>
      </w:ins>
      <w:ins w:id="10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with prior treatment</w:t>
        </w:r>
      </w:ins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(an observational study, the book’s Figure 20.6):</w:t>
        </w:r>
      </w:ins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conditioning on the collider</w:t>
        </w:r>
      </w:ins>
      <w:ins w:id="10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80" w:author="PR Preview" w:date="2024-01-01T00:00:00Z">
        <w:r>
          <w:t xml:space="preserve">The settings of Figures 20.3 and 20.4 cannot be distinguished using the observed data,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which is why both are called treatment-confounder feedback.</w:t>
        </w:r>
      </w:ins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ins w:id="1089" w:author="PR Preview" w:date="2024-01-01T00:00:00Z">
        <w:r>
          <w:t xml:space="preserve">With two time points there are</w:t>
        </w:r>
      </w:ins>
      <w:ins w:id="10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1089" w:author="PR Preview" w:date="2024-01-01T00:00:00Z">
        <w:r>
          <w:t xml:space="preserve"> </w:t>
        </w:r>
      </w:ins>
      <w:ins w:id="1089" w:author="PR Preview" w:date="2024-01-01T00:00:00Z">
        <w:r>
          <w:t xml:space="preserve">static strategies</w:t>
        </w:r>
      </w:ins>
      <w:ins w:id="10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0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090" w:author="PR Preview" w:date="2024-01-01T00:00:00Z">
        <w:r>
          <w:t xml:space="preserve">With</w:t>
        </w:r>
      </w:ins>
      <w:ins w:id="1090" w:author="PR Preview" w:date="2024-01-01T00:00:00Z">
        <w:r>
          <w:t xml:space="preserve"> </w:t>
        </w:r>
      </w:ins>
      <m:oMath>
        <m:r>
          <m:t>K</m:t>
        </m:r>
      </m:oMath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of the order of 100 (not unusual in practice),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there are</w:t>
        </w:r>
      </w:ins>
      <w:ins w:id="10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static strategies,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far more than the sample size of any study,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ins w:id="1105" w:author="PR Preview" w:date="2024-01-01T00:00:00Z">
        <w:r>
          <w:t xml:space="preserve">The book states that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non-zero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“even if the true causal effect is zero and the regression model for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correct”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(Hernán and Robins 2020, 274)</w:t>
        </w:r>
      </w:ins>
      <w:ins w:id="1105" w:author="PR Preview" w:date="2024-01-01T00:00:00Z">
        <w:r>
          <w:t xml:space="preserve">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Under Figure 20.5, the cumulative-treatment model itself cannot be the correct one.</w:t>
        </w:r>
      </w:ins>
      <w:ins w:id="1105" w:author="PR Preview" w:date="2024-01-01T00:00:00Z">
        <w:r>
          <w:t xml:space="preserve"> </w:t>
        </w:r>
      </w:ins>
      <m:oMath>
        <m:r>
          <m:t>Y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independent of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given</w:t>
        </w:r>
      </w:ins>
      <w:ins w:id="1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05" w:author="PR Preview" w:date="2024-01-01T00:00:00Z">
        <w:r>
          <w:t xml:space="preserve">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so a correct model for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has no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term,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whereas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forces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and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to share the coefficient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The data in Table 20.1 illustrate this.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Their cell means depend on</w:t>
        </w:r>
      </w:ins>
      <w:ins w:id="1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8" w:author="PR Preview" w:date="2024-01-01T00:00:00Z">
        <w:r>
          <w:t xml:space="preserve">:</w:t>
        </w:r>
      </w:ins>
      <w:ins w:id="1108" w:author="PR Preview" w:date="2024-01-01T00:00:00Z">
        <w:r>
          <w:t xml:space="preserve"> </w:t>
        </w:r>
      </w:ins>
      <m:oMath>
        <m:r>
          <m:t>84</m:t>
        </m:r>
      </m:oMath>
      <w:ins w:id="1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09" w:author="PR Preview" w:date="2024-01-01T00:00:00Z">
        <w:r>
          <w:t xml:space="preserve">:</w:t>
        </w:r>
      </w:ins>
      <w:ins w:id="1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10" w:author="PR Preview" w:date="2024-01-01T00:00:00Z">
        <w:r>
          <w:t xml:space="preserve">:</w:t>
        </w:r>
      </w:ins>
      <w:ins w:id="1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1" w:author="PR Preview" w:date="2024-01-01T00:00:00Z">
        <w:r>
          <w:t xml:space="preserve">:</w:t>
        </w:r>
      </w:ins>
      <w:ins w:id="1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1" w:author="PR Preview" w:date="2024-01-01T00:00:00Z">
        <w:r>
          <w:t xml:space="preserve">.</w:t>
        </w:r>
      </w:ins>
    </w:p>
    <w:p>
      <w:pPr>
        <w:pStyle w:val="FirstParagraph"/>
      </w:pPr>
      <w:ins w:id="1112" w:author="PR Preview" w:date="2024-01-01T00:00:00Z">
        <w:r>
          <w:t xml:space="preserve">The conclusion is unchanged: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even this correctly specified model gives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12" w:author="PR Preview" w:date="2024-01-01T00:00:00Z">
        <w:r>
          <w:t xml:space="preserve">)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although the true effect of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is zero,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because the model conditions on the collider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2026-10-08T05:28:50Z</dcterms:created>
  <dcterms:modified xsi:type="dcterms:W3CDTF">2026-10-08T05:28:50Z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