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1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In a linear structural equation model, this decomposition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indirect effect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“product of coefficients”</w:t>
      </w:r>
      <w:r>
        <w:t xml:space="preserve">)</w:t>
      </w:r>
      <w:r>
        <w:t xml:space="preserve"> </w:t>
      </w:r>
      <w:r>
        <w:t xml:space="preserve">and the direct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total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0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1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9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0"/>
    <w:bookmarkEnd w:id="11"/>
    <w:bookmarkStart w:id="15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2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3"/>
        </w:tc>
      </w:tr>
    </w:tbl>
    <w:bookmarkStart w:id="14" w:name="the-decomposition"/>
    <w:p>
      <w:pPr>
        <w:pStyle w:val="Heading3"/>
      </w:pPr>
      <w:r>
        <w:t xml:space="preserve">2.1 The Decomposition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decomposes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NDE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NIE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decomposition always holds on the additive (difference) scale.</w:t>
      </w:r>
      <w:r>
        <w:t xml:space="preserve"> </w:t>
      </w:r>
      <w:r>
        <w:t xml:space="preserve">On other scales (ratio, odds ratio), decompositions exist but are more complex.</w:t>
      </w:r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4"/>
    <w:bookmarkEnd w:id="15"/>
    <w:bookmarkStart w:id="18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4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6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7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7"/>
    <w:bookmarkEnd w:id="18"/>
    <w:bookmarkStart w:id="26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5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0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0"/>
    <w:bookmarkStart w:id="25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6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1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5"/>
    <w:bookmarkEnd w:id="26"/>
    <w:bookmarkStart w:id="2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7"/>
    <w:bookmarkStart w:id="3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2026-10-01T21:22:26Z</dcterms:created>
  <dcterms:modified xsi:type="dcterms:W3CDTF">2026-10-01T21:22:26Z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