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9"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1" w:name="research-question"/>
    <w:p>
      <w:pPr>
        <w:pStyle w:val="Heading3"/>
      </w:pPr>
      <w:r>
        <w:t xml:space="preserve">1.1 Research Question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exm-nhefs-question"/>
          <w:p>
            <w:pPr>
              <w:pStyle w:val="BodyText"/>
            </w:pPr>
            <w:r>
              <w:rPr>
                <w:b/>
                <w:bCs/>
              </w:rPr>
              <w:t xml:space="preserve">Example 1 (NHEFS: Does Quitting Smoking Cause Weight Gain?)</w:t>
            </w:r>
            <w:r>
              <w:t xml:space="preserve"> </w:t>
            </w: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bookmarkEnd w:id="10"/>
        </w:tc>
      </w:tr>
    </w:tbl>
    <w:p>
      <w:r>
        <w:pict>
          <v:rect style="width:0;height:1.5pt" o:hralign="center" o:hrstd="t" o:hr="t"/>
        </w:pict>
      </w:r>
    </w:p>
    <w:bookmarkEnd w:id="11"/>
    <w:bookmarkStart w:id="13" w:name="unadjusted-comparison"/>
    <w:p>
      <w:pPr>
        <w:pStyle w:val="Heading3"/>
      </w:pPr>
      <w:r>
        <w:t xml:space="preserve">1.2 Unadjusted Comparison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nhefs-unadjusted"/>
          <w:p>
            <w:pPr>
              <w:pStyle w:val="BodyText"/>
            </w:pPr>
            <w:r>
              <w:rPr>
                <w:b/>
                <w:bCs/>
              </w:rPr>
              <w:t xml:space="preserve">Example 2 (NHEFS: Unadjusted Comparison)</w:t>
            </w:r>
            <w:r>
              <w:t xml:space="preserve"> </w:t>
            </w: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bookmarkEnd w:id="12"/>
        </w:tc>
      </w:tr>
    </w:tbl>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3"/>
    <w:bookmarkStart w:id="14"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4"/>
    <w:bookmarkStart w:id="18"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opt/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8"/>
    <w:bookmarkEnd w:id="19"/>
    <w:bookmarkStart w:id="34"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prp-pseudo-population"/>
          <w:p>
            <w:pPr>
              <w:pStyle w:val="BodyText"/>
            </w:pPr>
            <w:r>
              <w:rPr>
                <w:b/>
                <w:bCs/>
              </w:rPr>
              <w:t xml:space="preserve">Proposition 1 (Properties of the IP Weighted Pseudo-Population)</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bookmarkEnd w:id="20"/>
        </w:tc>
      </w:tr>
    </w:tbl>
    <w:p>
      <w:r>
        <w:pict>
          <v:rect style="width:0;height:1.5pt" o:hralign="center" o:hrstd="t" o:hr="t"/>
        </w:pict>
      </w:r>
    </w:p>
    <w:bookmarkStart w:id="22"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1"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21"/>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22"/>
    <w:bookmarkStart w:id="23"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3"/>
    <w:bookmarkStart w:id="25" w:name="the-treatment-model"/>
    <w:p>
      <w:pPr>
        <w:pStyle w:val="Heading3"/>
      </w:pPr>
      <w:r>
        <w:t xml:space="preserve">2.3 The Treatment Model</w:t>
      </w:r>
    </w:p>
    <w:bookmarkStart w:id="24" w:name="alg-estimate-ip-weights"/>
    <w:p>
      <w:pPr>
        <w:pStyle w:val="FirstParagraph"/>
      </w:pPr>
      <w:r>
        <w:rPr>
          <w:b/>
          <w:bCs/>
        </w:rPr>
        <w:t xml:space="preserve">Algorithm 1 (Estimating IP Weights with a Treatment Model)</w:t>
      </w:r>
      <w:r>
        <w:t xml:space="preserve"> </w:t>
      </w:r>
      <w:r>
        <w:t xml:space="preserve"> </w:t>
      </w:r>
    </w:p>
    <w:p>
      <w:pPr>
        <w:pStyle w:val="Compact"/>
        <w:numPr>
          <w:ilvl w:val="0"/>
          <w:numId w:val="1008"/>
        </w:numPr>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1"/>
          <w:numId w:val="1009"/>
        </w:numPr>
      </w:pPr>
      <w:r>
        <w:t xml:space="preserve">linear and quadratic terms for the (quasi-)continuous covariates age, weight, intensity of smoking, and duration of smoking;</w:t>
      </w:r>
    </w:p>
    <w:p>
      <w:pPr>
        <w:pStyle w:val="Compact"/>
        <w:numPr>
          <w:ilvl w:val="1"/>
          <w:numId w:val="1009"/>
        </w:numPr>
      </w:pPr>
      <w:r>
        <w:t xml:space="preserve">no product terms between covariates.</w:t>
      </w:r>
    </w:p>
    <w:p>
      <w:pPr>
        <w:pStyle w:val="Compact"/>
        <w:numPr>
          <w:ilvl w:val="0"/>
          <w:numId w:val="1008"/>
        </w:numPr>
      </w:pPr>
      <w:r>
        <w:t xml:space="preserve">For each individual, compute</w:t>
      </w:r>
    </w:p>
    <w:p>
      <w:pPr>
        <w:pStyle w:val="Compact"/>
        <w:numPr>
          <w:ilvl w:val="1"/>
          <w:numId w:val="1010"/>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1"/>
          <w:numId w:val="1010"/>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8"/>
        </w:numPr>
      </w:pPr>
      <w:r>
        <w:t xml:space="preserve">Set</w:t>
      </w:r>
      <w:r>
        <w:t xml:space="preserve"> </w:t>
      </w: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bookmarkEnd w:id="24"/>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5"/>
    <w:bookmarkStart w:id="28"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 weighted least squares with weights</w:t>
      </w:r>
      <w:r>
        <w:t xml:space="preserve"> </w:t>
      </w:r>
      <m:oMath>
        <m:sSup>
          <m:e>
            <m:acc>
              <m:accPr>
                <m:chr m:val="̂"/>
              </m:accPr>
              <m:e>
                <m:r>
                  <m:t>W</m:t>
                </m:r>
              </m:e>
            </m:acc>
          </m:e>
          <m:sup>
            <m:r>
              <m:t>A</m:t>
            </m:r>
          </m:sup>
        </m:sSup>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weighted-least-squares"/>
          <w:p>
            <w:pPr>
              <w:pStyle w:val="BodyText"/>
            </w:pPr>
            <w:r>
              <w:rPr>
                <w:b/>
                <w:bCs/>
              </w:rPr>
              <w:t xml:space="preserve">Definition 2 (Weighted Least Squares)</w:t>
            </w:r>
            <w:r>
              <w:t xml:space="preserve"> </w:t>
            </w:r>
            <w:r>
              <w:t xml:space="preserve">Given weights</w:t>
            </w:r>
            <w:r>
              <w:t xml:space="preserve"> </w:t>
            </w:r>
            <m:oMath>
              <m:sSub>
                <m:e>
                  <m:acc>
                    <m:accPr>
                      <m:chr m:val="̂"/>
                    </m:accPr>
                    <m:e>
                      <m:r>
                        <m:t>W</m:t>
                      </m:r>
                    </m:e>
                  </m:acc>
                </m:e>
                <m:sub>
                  <m:r>
                    <m:t>i</m:t>
                  </m:r>
                </m:sub>
              </m:sSub>
            </m:oMath>
            <w:r>
              <w:t xml:space="preserve">, the</w:t>
            </w:r>
            <w:r>
              <w:t xml:space="preserve"> </w:t>
            </w:r>
            <w:r>
              <w:rPr>
                <w:b/>
                <w:bCs/>
              </w:rPr>
              <w:t xml:space="preserve">weighted least squares</w:t>
            </w:r>
            <w:r>
              <w:t xml:space="preserve"> </w:t>
            </w:r>
            <w:r>
              <w:t xml:space="preserve">estimates</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of 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are the values that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bookmarkEnd w:id="26"/>
        </w:tc>
      </w:tr>
    </w:tbl>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nhefs-ipw"/>
          <w:p>
            <w:pPr>
              <w:pStyle w:val="BodyText"/>
            </w:pPr>
            <w:r>
              <w:rPr>
                <w:b/>
                <w:bCs/>
              </w:rPr>
              <w:t xml:space="preserve">Example 3 (NHEFS: Nonstabilized IP Weighting)</w:t>
            </w:r>
            <w:r>
              <w:t xml:space="preserve"> </w:t>
            </w:r>
            <w:r>
              <w:t xml:space="preserve"> </w:t>
            </w:r>
          </w:p>
          <w:p>
            <w:pPr>
              <w:pStyle w:val="Compact"/>
              <w:numPr>
                <w:ilvl w:val="0"/>
                <w:numId w:val="1011"/>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1"/>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1"/>
              </w:numPr>
            </w:pPr>
            <w:r>
              <w:t xml:space="preserve">Conservative 95% confidence interval: (2.4, 4.5).</w:t>
            </w:r>
          </w:p>
          <w:p>
            <w:pPr>
              <w:pStyle w:val="FirstParagraph"/>
            </w:pPr>
            <w:r>
              <w:t xml:space="preserve">Compare with the unadjusted difference of 2.5 kg.</w:t>
            </w:r>
          </w:p>
          <w:bookmarkEnd w:id="27"/>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8"/>
    <w:bookmarkStart w:id="33" w:name="X465bf72047e5e9d757ab7c7ef0f658173e39e2a"/>
    <w:p>
      <w:pPr>
        <w:pStyle w:val="Heading3"/>
      </w:pPr>
      <w:r>
        <w:t xml:space="preserve">2.5 Confidence Intervals for IP Weighted Estimates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rem-ipw-confidence-intervals"/>
          <w:p>
            <w:pPr>
              <w:pStyle w:val="BodyText"/>
            </w:pPr>
            <w:r>
              <w:rPr>
                <w:i/>
                <w:iCs/>
              </w:rPr>
              <w:t xml:space="preserve">Remark 1</w:t>
            </w:r>
            <w:r>
              <w:t xml:space="preserve"> (Confidence Intervals Must Account for the Weighting). </w:t>
            </w:r>
            <w:r>
              <w:t xml:space="preserve">Three options</w:t>
            </w:r>
            <w:r>
              <w:t xml:space="preserve"> </w:t>
            </w:r>
            <w:r>
              <w:t xml:space="preserve">(Hernán and Robins 2020, chap. 12, p. 166)</w:t>
            </w:r>
            <w:r>
              <w:t xml:space="preserve">:</w:t>
            </w:r>
          </w:p>
          <w:p>
            <w:pPr>
              <w:pStyle w:val="Compact"/>
              <w:numPr>
                <w:ilvl w:val="0"/>
                <w:numId w:val="1012"/>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2"/>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2"/>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bookmarkEnd w:id="29"/>
        </w:tc>
      </w:tr>
    </w:tbl>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def-ht-hajek"/>
          <w:p>
            <w:pPr>
              <w:pStyle w:val="BodyText"/>
            </w:pPr>
            <w:r>
              <w:rPr>
                <w:b/>
                <w:bCs/>
              </w:rPr>
              <w:t xml:space="preserve">Definition 3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3"/>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3"/>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32"/>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33"/>
    <w:bookmarkEnd w:id="34"/>
    <w:bookmarkStart w:id="45"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4"/>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4"/>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4"/>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36" w:name="Xb874ec628c6dbc2d02a1384eafb4cba951bf3d2"/>
    <w:p>
      <w:pPr>
        <w:pStyle w:val="Heading3"/>
      </w:pPr>
      <w:r>
        <w:t xml:space="preserve">3.1 Why Rescaling Does Not Change the Estimate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prp-rescaled-weights"/>
          <w:p>
            <w:pPr>
              <w:pStyle w:val="BodyText"/>
            </w:pPr>
            <w:r>
              <w:rPr>
                <w:b/>
                <w:bCs/>
              </w:rPr>
              <w:t xml:space="preserve">Proposition 2 (Rescaling the Weights Does Not Change the Estimate)</w:t>
            </w:r>
            <w:r>
              <w:t xml:space="preserve"> </w:t>
            </w: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computed with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equals the one computed with weights</w:t>
            </w:r>
            <w:r>
              <w:t xml:space="preserve"> </w:t>
            </w:r>
            <m:oMath>
              <m:r>
                <m:t>1</m:t>
              </m:r>
              <m:r>
                <m:rPr>
                  <m:sty m:val="p"/>
                </m:rPr>
                <m:t>/</m:t>
              </m:r>
              <m:r>
                <m:t>f</m:t>
              </m:r>
              <m:r>
                <m:rPr>
                  <m:sty m:val="p"/>
                </m:rPr>
                <m:t>(</m:t>
              </m:r>
              <m:r>
                <m:t>A</m:t>
              </m:r>
              <m:r>
                <m:rPr>
                  <m:sty m:val="p"/>
                </m:rPr>
                <m:t>∣</m:t>
              </m:r>
              <m:r>
                <m:t>L</m:t>
              </m:r>
              <m:r>
                <m:rPr>
                  <m:sty m:val="p"/>
                </m:rPr>
                <m:t>)</m:t>
              </m:r>
            </m:oMath>
            <w:r>
              <w:t xml:space="preserve">,</w:t>
            </w:r>
            <w:r>
              <w:t xml:space="preserve"> </w:t>
            </w:r>
            <w:r>
              <w:t xml:space="preserve">so the difference between treatment levels is unchanged too.</w:t>
            </w:r>
          </w:p>
          <w:bookmarkEnd w:id="35"/>
        </w:tc>
      </w:tr>
    </w:tbl>
    <w:p>
      <w:pPr>
        <w:pStyle w:val="BodyText"/>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The same holds for every treatment level</w:t>
            </w:r>
            <w:r>
              <w:t xml:space="preserve"> </w:t>
            </w:r>
            <m:oMath>
              <m:r>
                <m:t>a</m:t>
              </m:r>
            </m:oMath>
            <w:r>
              <w:t xml:space="preserve">, so the difference between levels is unchanged.</w:t>
            </w:r>
          </w:p>
          <w:p/>
        </w:tc>
      </w:tr>
    </w:tbl>
    <w:p>
      <w:r>
        <w:pict>
          <v:rect style="width:0;height:1.5pt" o:hralign="center" o:hrstd="t" o:hr="t"/>
        </w:pict>
      </w:r>
    </w:p>
    <w:bookmarkEnd w:id="36"/>
    <w:bookmarkStart w:id="38"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7" w:name="def-stabilized-weights"/>
          <w:p>
            <w:pPr>
              <w:pStyle w:val="BodyText"/>
            </w:pPr>
            <w:r>
              <w:rPr>
                <w:b/>
                <w:bCs/>
              </w:rPr>
              <w:t xml:space="preserve">Definition 4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5"/>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5"/>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7"/>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8"/>
    <w:bookmarkStart w:id="40" w:name="estimation"/>
    <w:p>
      <w:pPr>
        <w:pStyle w:val="Heading3"/>
      </w:pPr>
      <w:r>
        <w:t xml:space="preserve">3.3 Estimation</w:t>
      </w:r>
    </w:p>
    <w:p>
      <w:pPr>
        <w:pStyle w:val="Compact"/>
        <w:numPr>
          <w:ilvl w:val="0"/>
          <w:numId w:val="1016"/>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6"/>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6"/>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9" w:name="exm-nhefs-sw"/>
          <w:p>
            <w:pPr>
              <w:pStyle w:val="BodyText"/>
            </w:pPr>
            <w:r>
              <w:rPr>
                <w:b/>
                <w:bCs/>
              </w:rPr>
              <w:t xml:space="preserve">Example 4 (NHEFS: Stabilized IP Weighting)</w:t>
            </w:r>
            <w:r>
              <w:t xml:space="preserve"> </w:t>
            </w:r>
            <w:r>
              <w:t xml:space="preserve"> </w:t>
            </w:r>
          </w:p>
          <w:p>
            <w:pPr>
              <w:pStyle w:val="Compact"/>
              <w:numPr>
                <w:ilvl w:val="0"/>
                <w:numId w:val="1017"/>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7"/>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9"/>
        </w:tc>
      </w:tr>
    </w:tbl>
    <w:p>
      <w:r>
        <w:pict>
          <v:rect style="width:0;height:1.5pt" o:hralign="center" o:hrstd="t" o:hr="t"/>
        </w:pict>
      </w:r>
    </w:p>
    <w:bookmarkEnd w:id="40"/>
    <w:bookmarkStart w:id="44" w:name="why-stabilize"/>
    <w:p>
      <w:pPr>
        <w:pStyle w:val="Heading3"/>
      </w:pPr>
      <w:r>
        <w:t xml:space="preserve">3.4 Why Stabilize?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1" w:name="rem-why-stabilize"/>
          <w:p>
            <w:pPr>
              <w:pStyle w:val="BodyText"/>
            </w:pPr>
            <w:r>
              <w:rPr>
                <w:i/>
                <w:iCs/>
              </w:rPr>
              <w:t xml:space="preserve">Remark 2</w:t>
            </w:r>
            <w:r>
              <w:t xml:space="preserve"> (When Stabilization Helps). </w:t>
            </w:r>
            <w:r>
              <w:t xml:space="preserve">If both kinds of weights give the same estimate, why stabilize?</w:t>
            </w:r>
          </w:p>
          <w:p>
            <w:pPr>
              <w:pStyle w:val="Compact"/>
              <w:numPr>
                <w:ilvl w:val="0"/>
                <w:numId w:val="1018"/>
              </w:numPr>
            </w:pPr>
            <w:r>
              <w:t xml:space="preserve">Stabilized weights typically give</w:t>
            </w:r>
            <w:r>
              <w:t xml:space="preserve"> </w:t>
            </w:r>
            <w:r>
              <w:rPr>
                <w:b/>
                <w:bCs/>
              </w:rPr>
              <w:t xml:space="preserve">narrower confidence intervals</w:t>
            </w:r>
            <w:r>
              <w:t xml:space="preserve">.</w:t>
            </w:r>
          </w:p>
          <w:p>
            <w:pPr>
              <w:pStyle w:val="Compact"/>
              <w:numPr>
                <w:ilvl w:val="0"/>
                <w:numId w:val="1018"/>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8"/>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8"/>
              </w:numPr>
            </w:pPr>
            <w:r>
              <w:t xml:space="preserve">With time-varying or continuous treatments the weighted model cannot be saturated, and stabilized weights are used (Section 12.4).</w:t>
            </w:r>
          </w:p>
          <w:bookmarkEnd w:id="41"/>
        </w:tc>
      </w:tr>
    </w:tbl>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9"/>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9"/>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20"/>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20"/>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44"/>
    <w:bookmarkEnd w:id="45"/>
    <w:bookmarkStart w:id="59"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6" w:name="def-msm"/>
          <w:p>
            <w:pPr>
              <w:pStyle w:val="BodyText"/>
            </w:pPr>
            <w:r>
              <w:rPr>
                <w:b/>
                <w:bCs/>
              </w:rPr>
              <w:t xml:space="preserve">Definition 5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4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prp-msm-parameter-causal"/>
          <w:p>
            <w:pPr>
              <w:pStyle w:val="BodyText"/>
            </w:pPr>
            <w:r>
              <w:rPr>
                <w:b/>
                <w:bCs/>
              </w:rPr>
              <w:t xml:space="preserve">Proposition 3 (MSM Treatment Parameters Are Average Causal Effects)</w:t>
            </w:r>
            <w:r>
              <w:t xml:space="preserve"> </w:t>
            </w:r>
            <w:r>
              <w:t xml:space="preserve">In the marginal structural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of</w:t>
            </w:r>
            <w:r>
              <w:t xml:space="preserve"> </w:t>
            </w:r>
            <w:hyperlink w:anchor="def-msm">
              <w:r>
                <w:rPr>
                  <w:rStyle w:val="Hyperlink"/>
                </w:rPr>
                <w:t xml:space="preserve">Definition 5</w:t>
              </w:r>
            </w:hyperlink>
            <w:r>
              <w:t xml:space="preserve">,</w:t>
            </w:r>
          </w:p>
          <w:p>
            <w:pPr>
              <w:pStyle w:val="BodyText"/>
            </w:pPr>
            <m:oMathPara>
              <m:oMathParaPr>
                <m:jc m:val="center"/>
              </m:oMathParaP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oMath>
            </m:oMathPara>
          </w:p>
          <w:bookmarkEnd w:id="4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tc>
      </w:tr>
    </w:tbl>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49" w:name="Xe84582f68f8c1f71091cc7201b90d5a3c2b7dcb"/>
    <w:p>
      <w:pPr>
        <w:pStyle w:val="Heading3"/>
      </w:pPr>
      <w:r>
        <w:t xml:space="preserve">4.1 Fitting a Marginal Structural Model by IP Weighting</w:t>
      </w:r>
    </w:p>
    <w:bookmarkStart w:id="48" w:name="alg-fit-msm-ipw"/>
    <w:p>
      <w:pPr>
        <w:pStyle w:val="FirstParagraph"/>
      </w:pPr>
      <w:r>
        <w:rPr>
          <w:b/>
          <w:bCs/>
        </w:rPr>
        <w:t xml:space="preserve">Algorithm 2 (Fitting a Marginal Structural Model by IP Weighting)</w:t>
      </w:r>
      <w:r>
        <w:t xml:space="preserve"> </w:t>
      </w:r>
      <w:r>
        <w:t xml:space="preserve"> </w:t>
      </w:r>
    </w:p>
    <w:p>
      <w:pPr>
        <w:pStyle w:val="Compact"/>
        <w:numPr>
          <w:ilvl w:val="0"/>
          <w:numId w:val="1021"/>
        </w:numPr>
      </w:pPr>
      <w:r>
        <w:t xml:space="preserve">Use IP weights to create a pseudo-population in which (under our assumptions) association is causation.</w:t>
      </w:r>
    </w:p>
    <w:p>
      <w:pPr>
        <w:pStyle w:val="Compact"/>
        <w:numPr>
          <w:ilvl w:val="0"/>
          <w:numId w:val="1021"/>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1"/>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bookmarkEnd w:id="48"/>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49"/>
    <w:bookmarkStart w:id="5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0" w:name="def-msm-continuous"/>
          <w:p>
            <w:pPr>
              <w:pStyle w:val="BodyText"/>
            </w:pPr>
            <w:r>
              <w:rPr>
                <w:b/>
                <w:bCs/>
              </w:rPr>
              <w:t xml:space="preserve">Definition 6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50"/>
        </w:tc>
      </w:tr>
    </w:tbl>
    <w:p>
      <w:r>
        <w:pict>
          <v:rect style="width:0;height:1.5pt" o:hralign="center" o:hrstd="t" o:hr="t"/>
        </w:pict>
      </w:r>
    </w:p>
    <w:bookmarkEnd w:id="51"/>
    <w:bookmarkStart w:id="53" w:name="Xbc3f19534599f45786ca228b19d146f3357f540"/>
    <w:p>
      <w:pPr>
        <w:pStyle w:val="Heading3"/>
      </w:pPr>
      <w:r>
        <w:t xml:space="preserve">4.3 Effect of Increasing Intensity by 20 Cigarettes/Day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2" w:name="exm-msm-20-cigarettes"/>
          <w:p>
            <w:pPr>
              <w:pStyle w:val="BodyText"/>
            </w:pPr>
            <w:r>
              <w:rPr>
                <w:b/>
                <w:bCs/>
              </w:rPr>
              <w:t xml:space="preserve">Example 5 (Effect of 20 More Cigarettes per Day under</w:t>
            </w:r>
            <w:r>
              <w:rPr>
                <w:b/>
                <w:bCs/>
              </w:rPr>
              <w:t xml:space="preserve"> </w:t>
            </w:r>
            <w:hyperlink w:anchor="def-msm-continuous">
              <w:r>
                <w:rPr>
                  <w:rStyle w:val="Hyperlink"/>
                  <w:b/>
                  <w:bCs/>
                </w:rPr>
                <w:t xml:space="preserve">Definition 6</w:t>
              </w:r>
            </w:hyperlink>
            <w:r>
              <w:rPr>
                <w:b/>
                <w:bCs/>
              </w:rPr>
              <w:t xml:space="preserve">)</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bookmarkEnd w:id="52"/>
        </w:tc>
      </w:tr>
    </w:tbl>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53"/>
    <w:bookmarkStart w:id="55"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2"/>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2"/>
        </w:numPr>
      </w:pPr>
      <m:oMath>
        <m:r>
          <m:t>f</m:t>
        </m:r>
        <m:r>
          <m:rPr>
            <m:sty m:val="p"/>
          </m:rPr>
          <m:t>(</m:t>
        </m:r>
        <m:r>
          <m:t>A</m:t>
        </m:r>
        <m:r>
          <m:rPr>
            <m:sty m:val="p"/>
          </m:rPr>
          <m:t>)</m:t>
        </m:r>
      </m:oMath>
      <w:r>
        <w:t xml:space="preserve"> </w:t>
      </w:r>
      <w:r>
        <w:t xml:space="preserve">in the numerator: also normal;</w:t>
      </w:r>
    </w:p>
    <w:p>
      <w:pPr>
        <w:pStyle w:val="Compact"/>
        <w:numPr>
          <w:ilvl w:val="0"/>
          <w:numId w:val="1022"/>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4" w:name="exm-nhefs-continuous"/>
          <w:p>
            <w:pPr>
              <w:pStyle w:val="BodyText"/>
            </w:pPr>
            <w:r>
              <w:rPr>
                <w:b/>
                <w:bCs/>
              </w:rPr>
              <w:t xml:space="preserve">Example 6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54"/>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55"/>
    <w:bookmarkStart w:id="58" w:name="Xf1b7fce8ba51efc151a1f2d69077bf7491d4647"/>
    <w:p>
      <w:pPr>
        <w:pStyle w:val="Heading3"/>
      </w:pPr>
      <w:r>
        <w:t xml:space="preserve">4.5 Dichotomous Outcome: Marginal Structural Logistic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6" w:name="def-msm-logistic"/>
          <w:p>
            <w:pPr>
              <w:pStyle w:val="BodyText"/>
            </w:pPr>
            <w:r>
              <w:rPr>
                <w:b/>
                <w:bCs/>
              </w:rPr>
              <w:t xml:space="preserve">Definition 7 (Marginal Structural Logistic Model)</w:t>
            </w:r>
            <w:r>
              <w:t xml:space="preserve"> </w:t>
            </w:r>
            <w:r>
              <w:t xml:space="preserve">For a dichotomous outcome</w:t>
            </w:r>
            <w:r>
              <w:t xml:space="preserve"> </w:t>
            </w:r>
            <m:oMath>
              <m:r>
                <m:t>D</m:t>
              </m:r>
            </m:oMath>
            <w:r>
              <w:t xml:space="preserve"> </w:t>
            </w:r>
            <w:r>
              <w:t xml:space="preserve">(1: yes, 0: no), a</w:t>
            </w:r>
            <w:r>
              <w:t xml:space="preserve"> </w:t>
            </w:r>
            <w:r>
              <w:rPr>
                <w:b/>
                <w:bCs/>
              </w:rPr>
              <w:t xml:space="preserve">marginal structural logistic model</w:t>
            </w:r>
            <w:r>
              <w:t xml:space="preserve"> </w:t>
            </w:r>
            <w:r>
              <w:t xml:space="preserve">is a model for the counterfactual risk on the logit scale, such as</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r>
                  <m:rPr>
                    <m:sty m:val="p"/>
                  </m:rPr>
                  <m:t>.</m:t>
                </m:r>
              </m:oMath>
            </m:oMathPara>
          </w:p>
          <w:p>
            <w:pPr>
              <w:pStyle w:val="FirstParagraph"/>
            </w:pPr>
            <w:r>
              <w:t xml:space="preserve">For a dichotomous treatment,</w:t>
            </w:r>
            <w:r>
              <w:t xml:space="preserve"> </w:t>
            </w:r>
            <m:oMath>
              <m:r>
                <m:rPr>
                  <m:nor/>
                  <m:sty m:val="p"/>
                </m:rPr>
                <m:t>exp</m:t>
              </m:r>
              <m:d>
                <m:dPr>
                  <m:begChr m:val="{"/>
                  <m:sepChr m:val=""/>
                  <m:endChr m:val="}"/>
                  <m:grow/>
                </m:dPr>
                <m:e>
                  <m:sSub>
                    <m:e>
                      <m:r>
                        <m:t>α</m:t>
                      </m:r>
                    </m:e>
                    <m:sub>
                      <m:r>
                        <m:t>1</m:t>
                      </m:r>
                    </m:sub>
                  </m:sSub>
                </m:e>
              </m:d>
            </m:oMath>
            <w:r>
              <w:t xml:space="preserve"> </w:t>
            </w:r>
            <w:r>
              <w:t xml:space="preserve">is the causal odds ratio comparing</w:t>
            </w:r>
            <w:r>
              <w:t xml:space="preserve"> </w:t>
            </w:r>
            <m:oMath>
              <m:r>
                <m:t>a</m:t>
              </m:r>
              <m:r>
                <m:rPr>
                  <m:sty m:val="p"/>
                </m:rPr>
                <m:t>=</m:t>
              </m:r>
              <m:r>
                <m:t>1</m:t>
              </m:r>
            </m:oMath>
            <w:r>
              <w:t xml:space="preserve"> </w:t>
            </w:r>
            <w:r>
              <w:t xml:space="preserve">with</w:t>
            </w:r>
            <w:r>
              <w:t xml:space="preserve"> </w:t>
            </w:r>
            <m:oMath>
              <m:r>
                <m:t>a</m:t>
              </m:r>
              <m:r>
                <m:rPr>
                  <m:sty m:val="p"/>
                </m:rPr>
                <m:t>=</m:t>
              </m:r>
              <m:r>
                <m:t>0</m:t>
              </m:r>
            </m:oMath>
            <w:r>
              <w:t xml:space="preserve">.</w:t>
            </w:r>
            <w:r>
              <w:t xml:space="preserve"> </w:t>
            </w:r>
            <w:r>
              <w:t xml:space="preserve">It is estimated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bookmarkEnd w:id="56"/>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57" w:name="exm-nhefs-death"/>
          <w:p>
            <w:pPr>
              <w:pStyle w:val="BodyText"/>
            </w:pPr>
            <w:r>
              <w:rPr>
                <w:b/>
                <w:bCs/>
              </w:rPr>
              <w:t xml:space="preserve">Example 7 (NHEFS: Quitting Smoking and Death by 1992)</w:t>
            </w:r>
            <w:r>
              <w:t xml:space="preserve"> </w:t>
            </w:r>
            <w:r>
              <w:t xml:space="preserve">With</w:t>
            </w:r>
            <w:r>
              <w:t xml:space="preserve"> </w:t>
            </w:r>
            <m:oMath>
              <m:r>
                <m:t>A</m:t>
              </m:r>
            </m:oMath>
            <w:r>
              <w:t xml:space="preserve"> </w:t>
            </w:r>
            <w:r>
              <w:t xml:space="preserve">= quitting smoking and</w:t>
            </w:r>
            <w:r>
              <w:t xml:space="preserve"> </w:t>
            </w:r>
            <m:oMath>
              <m:r>
                <m:t>D</m:t>
              </m:r>
            </m:oMath>
            <w:r>
              <w:t xml:space="preserve"> </w:t>
            </w:r>
            <w:r>
              <w:t xml:space="preserve">= death by 1992, the IP weighted estimate of the causal odds ratio was</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bookmarkEnd w:id="57"/>
        </w:tc>
      </w:tr>
    </w:tbl>
    <w:p>
      <w:pPr>
        <w:pStyle w:val="BodyText"/>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58"/>
    <w:bookmarkEnd w:id="59"/>
    <w:bookmarkStart w:id="67"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0" w:name="def-msm-effect-modification"/>
          <w:p>
            <w:pPr>
              <w:pStyle w:val="BodyText"/>
            </w:pPr>
            <w:r>
              <w:rPr>
                <w:b/>
                <w:bCs/>
              </w:rPr>
              <w:t xml:space="preserve">Definition 8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60"/>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62"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 </w:t>
      </w:r>
      <w:r>
        <w:t xml:space="preserve">(</w:t>
      </w:r>
      <w:hyperlink w:anchor="def-stabilized-weights-v">
        <w:r>
          <w:rPr>
            <w:rStyle w:val="Hyperlink"/>
          </w:rPr>
          <w:t xml:space="preserve">Definition 9</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1" w:name="def-stabilized-weights-v"/>
          <w:p>
            <w:pPr>
              <w:pStyle w:val="BodyText"/>
            </w:pPr>
            <w:r>
              <w:rPr>
                <w:b/>
                <w:bCs/>
              </w:rPr>
              <w:t xml:space="preserve">Definition 9 (Stabilized IP Weights Given</w:t>
            </w:r>
            <w:r>
              <w:rPr>
                <w:b/>
                <w:bCs/>
              </w:rPr>
              <w:t xml:space="preserve"> </w:t>
            </w:r>
            <m:oMath>
              <m:r>
                <m:t>V</m:t>
              </m:r>
            </m:oMath>
            <w:r>
              <w:rPr>
                <w:b/>
                <w:bCs/>
              </w:rPr>
              <w:t xml:space="preserve">)</w:t>
            </w:r>
          </w:p>
          <w:p>
            <w:pPr>
              <w:pStyle w:val="BodyText"/>
            </w:pPr>
            <m:oMathPara>
              <m:oMathParaPr>
                <m:jc m:val="center"/>
              </m:oMathParaPr>
              <m:oMath>
                <m:r>
                  <m:t>S</m:t>
                </m:r>
                <m:sSup>
                  <m:e>
                    <m:r>
                      <m:t>W</m:t>
                    </m:r>
                  </m:e>
                  <m:sup>
                    <m:r>
                      <m:t>A</m:t>
                    </m:r>
                  </m:sup>
                </m:sSup>
                <m:r>
                  <m:rPr>
                    <m:sty m:val="p"/>
                  </m:rPr>
                  <m:t>(</m:t>
                </m:r>
                <m:r>
                  <m:t>V</m:t>
                </m:r>
                <m:r>
                  <m:rPr>
                    <m:sty m:val="p"/>
                  </m:rPr>
                  <m:t>)</m:t>
                </m:r>
                <m:limUpp>
                  <m:e>
                    <m:r>
                      <m:rPr>
                        <m:sty m:val="p"/>
                      </m:rPr>
                      <m:t>=</m:t>
                    </m:r>
                  </m:e>
                  <m:lim>
                    <m:r>
                      <m:rPr>
                        <m:nor/>
                        <m:sty m:val="p"/>
                      </m:rPr>
                      <m:t>def</m:t>
                    </m:r>
                  </m:lim>
                </m:limUpp>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FirstParagraph"/>
            </w:pPr>
            <w:r>
              <w:t xml:space="preserve">They are estimated like</w:t>
            </w:r>
            <w:r>
              <w:t xml:space="preserve"> </w:t>
            </w:r>
            <m:oMath>
              <m:r>
                <m:t>S</m:t>
              </m:r>
              <m:sSup>
                <m:e>
                  <m:r>
                    <m:t>W</m:t>
                  </m:r>
                </m:e>
                <m:sup>
                  <m:r>
                    <m:t>A</m:t>
                  </m:r>
                </m:sup>
              </m:sSup>
            </m:oMath>
            <w:r>
              <w:t xml:space="preserve">, but with</w:t>
            </w:r>
            <w:r>
              <w:t xml:space="preserve"> </w:t>
            </w:r>
            <m:oMath>
              <m:r>
                <m:t>V</m:t>
              </m:r>
            </m:oMath>
            <w:r>
              <w:t xml:space="preserve"> </w:t>
            </w:r>
            <w:r>
              <w:t xml:space="preserve">added to the numerator’s logistic model.</w:t>
            </w:r>
          </w:p>
          <w:bookmarkEnd w:id="61"/>
        </w:tc>
      </w:tr>
    </w:tbl>
    <w:p>
      <w:pPr>
        <w:pStyle w:val="BodyText"/>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62"/>
    <w:bookmarkStart w:id="64"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3" w:name="exm-nhefs-sex"/>
          <w:p>
            <w:pPr>
              <w:pStyle w:val="BodyText"/>
            </w:pPr>
            <w:r>
              <w:rPr>
                <w:b/>
                <w:bCs/>
              </w:rPr>
              <w:t xml:space="preserve">Example 8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63"/>
        </w:tc>
      </w:tr>
    </w:tbl>
    <w:p>
      <w:r>
        <w:pict>
          <v:rect style="width:0;height:1.5pt" o:hralign="center" o:hrstd="t" o:hr="t"/>
        </w:pict>
      </w:r>
    </w:p>
    <w:bookmarkEnd w:id="64"/>
    <w:bookmarkStart w:id="66"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 IP weighting is unnecessary (</w:t>
      </w:r>
      <w:hyperlink w:anchor="def-faux-msm">
        <w:r>
          <w:rPr>
            <w:rStyle w:val="Hyperlink"/>
          </w:rPr>
          <w:t xml:space="preserve">Definition 10</w:t>
        </w:r>
      </w:hyperlink>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5" w:name="def-faux-msm"/>
          <w:p>
            <w:pPr>
              <w:pStyle w:val="BodyText"/>
            </w:pPr>
            <w:r>
              <w:rPr>
                <w:b/>
                <w:bCs/>
              </w:rPr>
              <w:t xml:space="preserve">Definition 10 (Faux Marginal Structural Model)</w:t>
            </w:r>
            <w:r>
              <w:t xml:space="preserve"> </w:t>
            </w:r>
            <w:r>
              <w:t xml:space="preserve">A marginal structural model that includes all of</w:t>
            </w:r>
            <w:r>
              <w:t xml:space="preserve"> </w:t>
            </w:r>
            <m:oMath>
              <m:r>
                <m:t>L</m:t>
              </m:r>
            </m:oMath>
            <w:r>
              <w:t xml:space="preserve"> </w:t>
            </w:r>
            <w:r>
              <w:t xml:space="preserve">as covariates has</w:t>
            </w:r>
            <w:r>
              <w:t xml:space="preserve"> </w:t>
            </w:r>
            <m:oMath>
              <m:r>
                <m:t>S</m:t>
              </m:r>
              <m:sSup>
                <m:e>
                  <m:r>
                    <m:t>W</m:t>
                  </m:r>
                </m:e>
                <m:sup>
                  <m:r>
                    <m:t>A</m:t>
                  </m:r>
                </m:sup>
              </m:sSup>
              <m:r>
                <m:rPr>
                  <m:sty m:val="p"/>
                </m:rPr>
                <m:t>(</m:t>
              </m:r>
              <m:r>
                <m:t>L</m:t>
              </m:r>
              <m:r>
                <m:rPr>
                  <m:sty m:val="p"/>
                </m:rPr>
                <m:t>)</m:t>
              </m:r>
              <m:r>
                <m:rPr>
                  <m:sty m:val="p"/>
                </m:rPr>
                <m:t>=</m:t>
              </m:r>
              <m:r>
                <m:t>1</m:t>
              </m:r>
            </m:oMath>
            <w:r>
              <w:t xml:space="preserve">, so no weighting is done:</w:t>
            </w:r>
            <w:r>
              <w:t xml:space="preserve"> </w:t>
            </w:r>
            <w:r>
              <w:t xml:space="preserve">it is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bookmarkEnd w:id="65"/>
        </w:tc>
      </w:tr>
    </w:tbl>
    <w:p>
      <w:pPr>
        <w:pStyle w:val="BodyText"/>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66"/>
    <w:bookmarkEnd w:id="67"/>
    <w:bookmarkStart w:id="80"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8" w:name="def-censoring-indicator"/>
          <w:p>
            <w:pPr>
              <w:pStyle w:val="BodyText"/>
            </w:pPr>
            <w:r>
              <w:rPr>
                <w:b/>
                <w:bCs/>
              </w:rPr>
              <w:t xml:space="preserve">Definition 11 (Censoring Indicator)</w:t>
            </w:r>
            <w:r>
              <w:t xml:space="preserve"> </w:t>
            </w:r>
            <w:r>
              <w:t xml:space="preserve">The</w:t>
            </w:r>
            <w:r>
              <w:t xml:space="preserve"> </w:t>
            </w:r>
            <w:r>
              <w:rPr>
                <w:b/>
                <w:bCs/>
              </w:rPr>
              <w:t xml:space="preserve">censoring indicator</w:t>
            </w:r>
            <w:r>
              <w:t xml:space="preserve"> </w:t>
            </w:r>
            <m:oMath>
              <m:r>
                <m:t>C</m:t>
              </m:r>
            </m:oMath>
            <w:r>
              <w:t xml:space="preserve"> </w:t>
            </w:r>
            <w:r>
              <w:t xml:space="preserve">equals 1 if an individual’s outcome is unmeasured (censored) and 0 if it is measured.</w:t>
            </w:r>
          </w:p>
          <w:bookmarkEnd w:id="68"/>
        </w:tc>
      </w:tr>
    </w:tbl>
    <w:p>
      <w:pPr>
        <w:pStyle w:val="BodyText"/>
      </w:pP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69"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69"/>
    <w:bookmarkStart w:id="71" w:name="the-target-a-joint-effect"/>
    <w:p>
      <w:pPr>
        <w:pStyle w:val="Heading3"/>
      </w:pPr>
      <w:r>
        <w:t xml:space="preserve">6.2 The Target: A Joint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0" w:name="def-effect-without-censoring"/>
          <w:p>
            <w:pPr>
              <w:pStyle w:val="BodyText"/>
            </w:pPr>
            <w:r>
              <w:rPr>
                <w:b/>
                <w:bCs/>
              </w:rPr>
              <w:t xml:space="preserve">Definition 12 (Causal Effect in the Absence of Censoring)</w:t>
            </w:r>
            <w:r>
              <w:t xml:space="preserve"> </w:t>
            </w:r>
            <w:r>
              <w:t xml:space="preserve">The average causal effect of</w:t>
            </w:r>
            <w:r>
              <w:t xml:space="preserve"> </w:t>
            </w:r>
            <m:oMath>
              <m:r>
                <m:t>A</m:t>
              </m:r>
            </m:oMath>
            <w:r>
              <w:t xml:space="preserve"> </w:t>
            </w:r>
            <w:r>
              <w:t xml:space="preserve">had nobody been censored is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r>
                  <m:rPr>
                    <m:sty m:val="p"/>
                  </m:rPr>
                  <m:t>,</m:t>
                </m:r>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p>
          <w:bookmarkEnd w:id="70"/>
        </w:tc>
      </w:tr>
    </w:tbl>
    <w:p>
      <w:pPr>
        <w:pStyle w:val="BodyText"/>
      </w:pP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71"/>
    <w:bookmarkStart w:id="74"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2" w:name="def-censoring-weights"/>
          <w:p>
            <w:pPr>
              <w:pStyle w:val="BodyText"/>
            </w:pPr>
            <w:r>
              <w:rPr>
                <w:b/>
                <w:bCs/>
              </w:rPr>
              <w:t xml:space="preserve">Definition 13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72"/>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3" w:name="def-identifiability-a-c"/>
          <w:p>
            <w:pPr>
              <w:pStyle w:val="BodyText"/>
            </w:pPr>
            <w:r>
              <w:rPr>
                <w:b/>
                <w:bCs/>
              </w:rPr>
              <w:t xml:space="preserve">Definition 14 (Identifiability Conditions for the Joint Treatment</w:t>
            </w:r>
            <w:r>
              <w:rPr>
                <w:b/>
                <w:bCs/>
              </w:rPr>
              <w:t xml:space="preserve"> </w:t>
            </w:r>
            <m:oMath>
              <m:r>
                <m:rPr>
                  <m:sty m:val="p"/>
                </m:rPr>
                <m:t>(</m:t>
              </m:r>
              <m:r>
                <m:t>A</m:t>
              </m:r>
              <m:r>
                <m:rPr>
                  <m:sty m:val="p"/>
                </m:rPr>
                <m:t>,</m:t>
              </m:r>
              <m:r>
                <m:t>C</m:t>
              </m:r>
              <m:r>
                <m:rPr>
                  <m:sty m:val="p"/>
                </m:rPr>
                <m:t>)</m:t>
              </m:r>
            </m:oMath>
            <w:r>
              <w:rPr>
                <w:b/>
                <w:bCs/>
              </w:rPr>
              <w:t xml:space="preserve">)</w:t>
            </w:r>
            <w:r>
              <w:t xml:space="preserve"> </w:t>
            </w:r>
            <w:r>
              <w:t xml:space="preserve"> </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bookmarkEnd w:id="73"/>
        </w:tc>
      </w:tr>
    </w:tbl>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74"/>
    <w:bookmarkStart w:id="79" w:name="X81508dbc7775fc3418fcb3c6ff208d53f3a1f1e"/>
    <w:p>
      <w:pPr>
        <w:pStyle w:val="Heading3"/>
      </w:pPr>
      <w:r>
        <w:t xml:space="preserve">6.4 Nonstabilized versus Stabilized Censoring Weights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5" w:name="def-stabilized-censoring-weights"/>
          <w:p>
            <w:pPr>
              <w:pStyle w:val="BodyText"/>
            </w:pPr>
            <w:r>
              <w:rPr>
                <w:b/>
                <w:bCs/>
              </w:rPr>
              <w:t xml:space="preserve">Definition 15 (Stabilized IP Weights for Censoring)</w:t>
            </w:r>
          </w:p>
          <w:p>
            <w:pPr>
              <w:pStyle w:val="BodyText"/>
            </w:pPr>
            <m:oMathPara>
              <m:oMathParaPr>
                <m:jc m:val="center"/>
              </m:oMathParaPr>
              <m:oMath>
                <m:r>
                  <m:t>S</m:t>
                </m:r>
                <m:sSup>
                  <m:e>
                    <m:r>
                      <m:t>W</m:t>
                    </m:r>
                  </m:e>
                  <m:sup>
                    <m:r>
                      <m:t>C</m:t>
                    </m:r>
                  </m:sup>
                </m:sSup>
                <m:limUpp>
                  <m:e>
                    <m:r>
                      <m:rPr>
                        <m:sty m:val="p"/>
                      </m:rPr>
                      <m:t>=</m:t>
                    </m:r>
                  </m:e>
                  <m:lim>
                    <m:r>
                      <m:rPr>
                        <m:nor/>
                        <m:sty m:val="p"/>
                      </m:rPr>
                      <m:t>def</m:t>
                    </m:r>
                  </m:lim>
                </m:limUpp>
                <m:f>
                  <m:fPr>
                    <m:type m:val="bar"/>
                  </m:fPr>
                  <m:num>
                    <m:r>
                      <m:rPr>
                        <m:sty m:val="p"/>
                      </m:rPr>
                      <m:t>Pr</m:t>
                    </m:r>
                    <m:r>
                      <m:rPr>
                        <m:sty m:val="p"/>
                      </m:rPr>
                      <m:t>[</m:t>
                    </m:r>
                    <m:r>
                      <m:t>C</m:t>
                    </m:r>
                    <m:r>
                      <m:rPr>
                        <m:sty m:val="p"/>
                      </m:rPr>
                      <m:t>=</m:t>
                    </m:r>
                    <m:r>
                      <m:t>0</m:t>
                    </m:r>
                    <m:r>
                      <m:rPr>
                        <m:sty m:val="p"/>
                      </m:rPr>
                      <m:t>∣</m:t>
                    </m:r>
                    <m:r>
                      <m:t>A</m:t>
                    </m:r>
                    <m:r>
                      <m:rPr>
                        <m:sty m:val="p"/>
                      </m:rPr>
                      <m:t>]</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r>
                  <m:t>S</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r>
                  <m:t>S</m:t>
                </m:r>
                <m:sSup>
                  <m:e>
                    <m:r>
                      <m:t>W</m:t>
                    </m:r>
                  </m:e>
                  <m:sup>
                    <m:r>
                      <m:t>A</m:t>
                    </m:r>
                    <m:r>
                      <m:rPr>
                        <m:sty m:val="p"/>
                      </m:rPr>
                      <m:t>,</m:t>
                    </m:r>
                    <m:r>
                      <m:t>C</m:t>
                    </m:r>
                  </m:sup>
                </m:sSup>
                <m:limUpp>
                  <m:e>
                    <m:r>
                      <m:rPr>
                        <m:sty m:val="p"/>
                      </m:rPr>
                      <m:t>=</m:t>
                    </m:r>
                  </m:e>
                  <m:lim>
                    <m:r>
                      <m:rPr>
                        <m:nor/>
                        <m:sty m:val="p"/>
                      </m:rPr>
                      <m:t>def</m:t>
                    </m:r>
                  </m:lim>
                </m:limUpp>
                <m:r>
                  <m:t>S</m:t>
                </m:r>
                <m:sSup>
                  <m:e>
                    <m:r>
                      <m:t>W</m:t>
                    </m:r>
                  </m:e>
                  <m:sup>
                    <m:r>
                      <m:t>A</m:t>
                    </m:r>
                  </m:sup>
                </m:sSup>
                <m:r>
                  <m:rPr>
                    <m:sty m:val="p"/>
                  </m:rPr>
                  <m:t>×</m:t>
                </m:r>
                <m:r>
                  <m:t>S</m:t>
                </m:r>
                <m:sSup>
                  <m:e>
                    <m:r>
                      <m:t>W</m:t>
                    </m:r>
                  </m:e>
                  <m:sup>
                    <m:r>
                      <m:t>C</m:t>
                    </m:r>
                  </m:sup>
                </m:sSup>
              </m:oMath>
            </m:oMathPara>
          </w:p>
          <w:bookmarkEnd w:id="75"/>
        </w:tc>
      </w:tr>
    </w:tbl>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6" w:name="exm-nhefs-censoring"/>
          <w:p>
            <w:pPr>
              <w:pStyle w:val="BodyText"/>
            </w:pPr>
            <w:r>
              <w:rPr>
                <w:b/>
                <w:bCs/>
              </w:rPr>
              <w:t xml:space="preserve">Example 9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76"/>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79"/>
    <w:bookmarkEnd w:id="80"/>
    <w:bookmarkStart w:id="84"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83" w:name="refs"/>
    <w:bookmarkStart w:id="82"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81">
        <w:r>
          <w:rPr>
            <w:rStyle w:val="Hyperlink"/>
          </w:rPr>
          <w:t xml:space="preserve">https://miguelhernan.org/whatifbook</w:t>
        </w:r>
      </w:hyperlink>
      <w:r>
        <w:t xml:space="preserve">.</w:t>
      </w:r>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hyperlink" Id="rId81"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81"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2026-10-02T17:14:03Z</dcterms:created>
  <dcterms:modified xsi:type="dcterms:W3CDTF">2026-10-02T17:14:03Z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