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3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ins w:id="18" w:author="PR Preview" w:date="2024-01-01T00:00:00Z">
        <w:r>
          <w:t xml:space="preserve">In the pseudo-population, the probability of treatment at each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the constant</w:t>
        </w:r>
      </w:ins>
      <w:ins w:id="1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(nonstabilized weights)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or depends at most on past treatment (stabilized weights),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sequential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i/>
            <w:iCs/>
          </w:rPr>
          <w:t xml:space="preserve">unconditional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exchangeability holds there,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</w:t>
        </w:r>
      </w:ins>
      <w:ins w:id="1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a true sequentially randomized trial the treatment probabilities are known by design,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so nonstabilized-weight estimates are unbiased;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observational studies they must be estimated,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for example by a pooled logistic model for</w:t>
        </w:r>
      </w:ins>
      <w:ins w:id="1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that includes functions of time</w:t>
        </w:r>
      </w:ins>
      <w:ins w:id="18" w:author="PR Preview" w:date="2024-01-01T00:00:00Z">
        <w:r>
          <w:t xml:space="preserve"> </w:t>
        </w:r>
      </w:ins>
      <m:oMath>
        <m:r>
          <m:t>k</m:t>
        </m:r>
      </m:oMath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2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ins w:id="24" w:author="PR Preview" w:date="2024-01-01T00:00:00Z">
        <w:r>
          <w:t xml:space="preserve">If this marginal structural model and the model for treatment in the weights’ denominator are both correctly specified,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and sequential exchangeability, positivity, and consistency hold,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then the coefficients of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and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in the weighted fit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are consistent for the causal</w:t>
        </w:r>
      </w:ins>
      <w:ins w:id="24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and</w:t>
        </w:r>
      </w:ins>
      <w:ins w:id="24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24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2"/>
    <w:bookmarkEnd w:id="53"/>
    <w:bookmarkStart w:id="70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4"/>
        </w:tc>
      </w:tr>
    </w:tbl>
    <w:bookmarkStart w:id="56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bookmarkStart w:id="55" w:name="alg-dr-time-fixed"/>
    <w:p>
      <w:pPr>
        <w:pStyle w:val="FirstParagraph"/>
      </w:pPr>
      <w:ins w:id="29" w:author="PR Preview" w:date="2024-01-01T00:00:00Z">
        <w:r>
          <w:rPr>
            <w:b/>
            <w:bCs/>
          </w:rPr>
          <w:t xml:space="preserve">Algorithm 1 (Doubly robust plug-in estimator for a time-fixed treatment)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For a binary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, binary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, and many confounders</w:t>
        </w:r>
      </w:ins>
      <w:ins w:id="29" w:author="PR Preview" w:date="2024-01-01T00:00:00Z">
        <w:r>
          <w:t xml:space="preserve"> </w:t>
        </w:r>
      </w:ins>
      <m:oMath>
        <m:r>
          <m:t>L</m:t>
        </m:r>
      </m:oMath>
      <w:ins w:id="29" w:author="PR Preview" w:date="2024-01-01T00:00:00Z">
        <w:r>
          <w:t xml:space="preserve">, estimate</w:t>
        </w:r>
      </w:ins>
      <w:ins w:id="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in three steps:</w:t>
        </w:r>
      </w:ins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55"/>
    <w:bookmarkEnd w:id="56"/>
    <w:bookmarkStart w:id="69" w:name="extension-to-time-varying-treatments"/>
    <w:p>
      <w:pPr>
        <w:pStyle w:val="Heading3"/>
      </w:pPr>
      <w:r>
        <w:t xml:space="preserve">3.2 Extension to Time-Varying Treatments</w:t>
      </w:r>
    </w:p>
    <w:bookmarkStart w:id="57" w:name="alg-dr-time-varying"/>
    <w:p>
      <w:pPr>
        <w:pStyle w:val="FirstParagraph"/>
      </w:pPr>
      <w:ins w:id="35" w:author="PR Preview" w:date="2024-01-01T00:00:00Z">
        <w:r>
          <w:rPr>
            <w:b/>
            <w:bCs/>
          </w:rPr>
          <w:t xml:space="preserve">Algorithm 2 (Doubly robust plug-in estimator for a time-varying treatment)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To estimate</w:t>
        </w:r>
      </w:ins>
      <w:ins w:id="3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(</w:t>
        </w:r>
      </w:ins>
      <w:ins w:id="35" w:author="PR Preview" w:date="2024-01-01T00:00:00Z">
        <w:r>
          <w:t xml:space="preserve">“always treated”</w:t>
        </w:r>
      </w:ins>
      <w:ins w:id="35" w:author="PR Preview" w:date="2024-01-01T00:00:00Z">
        <w:r>
          <w:t xml:space="preserve">):</w:t>
        </w:r>
      </w:ins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bookmarkEnd w:id="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3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0"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69"/>
    <w:bookmarkEnd w:id="70"/>
    <w:bookmarkStart w:id="97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1"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3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4"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7"/>
        </w:tc>
      </w:tr>
    </w:tbl>
    <w:p>
      <w:pPr>
        <w:pStyle w:val="FirstParagraph"/>
      </w:pPr>
      <w:ins w:id="5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79"/>
        </w:tc>
      </w:tr>
    </w:tbl>
    <w:bookmarkStart w:id="85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4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1"/>
        </w:tc>
      </w:tr>
    </w:tbl>
    <w:p>
      <w:pPr>
        <w:pStyle w:val="BodyText"/>
      </w:pPr>
      <w:ins w:id="6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5"/>
    <w:bookmarkStart w:id="90" w:name="g-estimation-algorithm-one-parameter"/>
    <w:p>
      <w:pPr>
        <w:pStyle w:val="Heading3"/>
      </w:pPr>
      <w:r>
        <w:t xml:space="preserve">4.2 G-Estimation Algorithm (One Parameter)</w:t>
      </w:r>
    </w:p>
    <w:bookmarkStart w:id="86" w:name="alg-g-estimation-one-parameter"/>
    <w:p>
      <w:pPr>
        <w:pStyle w:val="FirstParagraph"/>
      </w:pPr>
      <w:ins w:id="63" w:author="PR Preview" w:date="2024-01-01T00:00:00Z">
        <w:r>
          <w:rPr>
            <w:b/>
            <w:bCs/>
          </w:rPr>
          <w:t xml:space="preserve">Algorithm 3 (G-estimation of a one-parameter SNMM)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Take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(true value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63" w:author="PR Preview" w:date="2024-01-01T00:00:00Z">
        <w:r>
          <w:t xml:space="preserve">), so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6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ins w:id="6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5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89"/>
        </w:tc>
      </w:tr>
    </w:tbl>
    <w:bookmarkEnd w:id="90"/>
    <w:bookmarkStart w:id="96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1"/>
        </w:tc>
      </w:tr>
    </w:tbl>
    <w:p>
      <w:pPr>
        <w:pStyle w:val="FirstParagraph"/>
      </w:pPr>
      <w:ins w:id="7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6"/>
    <w:bookmarkEnd w:id="97"/>
    <w:bookmarkStart w:id="113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4" w:author="PR Preview" w:date="2024-01-01T00:00:00Z">
        <w:r>
          <w:t xml:space="preserve">Part II treated censoring</w:t>
        </w:r>
      </w:ins>
      <w:ins w:id="74" w:author="PR Preview" w:date="2024-01-01T00:00:00Z">
        <w:r>
          <w:t xml:space="preserve"> </w:t>
        </w:r>
      </w:ins>
      <m:oMath>
        <m:r>
          <m:t>C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as time-fixed.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9"/>
        </w:tc>
      </w:tr>
    </w:tbl>
    <w:p>
      <w:pPr>
        <w:pStyle w:val="FirstParagraph"/>
      </w:pPr>
      <w:ins w:id="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6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0"/>
        </w:tc>
      </w:tr>
    </w:tbl>
    <w:p>
      <w:pPr>
        <w:pStyle w:val="BodyText"/>
      </w:pPr>
      <w:ins w:id="77" w:author="PR Preview" w:date="2024-01-01T00:00:00Z">
        <w:r>
          <w:t xml:space="preserve">The superscript</w:t>
        </w:r>
      </w:ins>
      <w:ins w:id="77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makes explicit the contrast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many investigators have in mind when they speak of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“the effect of treatment”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(Hernán and Robins 2020, 298)</w:t>
        </w:r>
      </w:ins>
      <w:ins w:id="77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2" w:name="ip-weighting-with-censoring"/>
    <w:p>
      <w:pPr>
        <w:pStyle w:val="Heading3"/>
      </w:pPr>
      <w:r>
        <w:t xml:space="preserve">5.1 IP Weighting with Censoring</w:t>
      </w:r>
    </w:p>
    <w:bookmarkStart w:id="103" w:name="alg-ipw-censoring-tv"/>
    <w:p>
      <w:pPr>
        <w:pStyle w:val="FirstParagraph"/>
      </w:pPr>
      <w:ins w:id="79" w:author="PR Preview" w:date="2024-01-01T00:00:00Z">
        <w:r>
          <w:rPr>
            <w:b/>
            <w:bCs/>
          </w:rPr>
          <w:t xml:space="preserve">Algorithm 4 (IP weighting with time-varying censoring)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Fit, for example,</w:t>
        </w:r>
      </w:ins>
      <w:ins w:id="7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 the pseudo-population created by</w:t>
        </w:r>
      </w:ins>
      <w:ins w:id="79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or</w:t>
        </w:r>
      </w:ins>
      <w:ins w:id="79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ins w:id="79" w:author="PR Preview" w:date="2024-01-01T00:00:00Z">
        <w:r>
          <w:t xml:space="preserve">, where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bookmarkEnd w:id="103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4"/>
        </w:tc>
      </w:tr>
    </w:tbl>
    <w:p>
      <w:pPr>
        <w:pStyle w:val="FirstParagraph"/>
      </w:pPr>
      <w:ins w:id="8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ins w:id="8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23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4"/>
        </w:tc>
      </w:tr>
    </w:tbl>
    <w:p>
      <w:pPr>
        <w:pStyle w:val="BodyText"/>
      </w:pPr>
      <w:ins w:id="8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ins w:id="8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6"/>
        </w:tc>
      </w:tr>
    </w:tbl>
    <w:bookmarkStart w:id="122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7"/>
        </w:tc>
      </w:tr>
    </w:tbl>
    <w:p>
      <w:pPr>
        <w:pStyle w:val="FirstParagraph"/>
      </w:pPr>
      <w:ins w:id="9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1"/>
        </w:tc>
      </w:tr>
    </w:tbl>
    <w:bookmarkEnd w:id="122"/>
    <w:bookmarkEnd w:id="123"/>
    <w:bookmarkStart w:id="124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4"/>
    <w:bookmarkStart w:id="128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7" w:name="refs"/>
    <w:bookmarkStart w:id="12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2026-10-02T18:20:26Z</dcterms:created>
  <dcterms:modified xsi:type="dcterms:W3CDTF">2026-10-02T18:20:26Z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