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17"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0" w:name="research-question"/>
    <w:p>
      <w:pPr>
        <w:pStyle w:val="Heading3"/>
      </w:pPr>
      <w:r>
        <w:t xml:space="preserve">1.1 Research Question</w:t>
      </w:r>
    </w:p>
    <w:p>
      <w:pPr>
        <w:pStyle w:val="FirstParagraph"/>
      </w:pP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r>
        <w:pict>
          <v:rect style="width:0;height:1.5pt" o:hralign="center" o:hrstd="t" o:hr="t"/>
        </w:pict>
      </w:r>
    </w:p>
    <w:bookmarkEnd w:id="10"/>
    <w:bookmarkStart w:id="11" w:name="unadjusted-comparison"/>
    <w:p>
      <w:pPr>
        <w:pStyle w:val="Heading3"/>
      </w:pPr>
      <w:r>
        <w:t xml:space="preserve">1.2 Unadjusted Comparison</w:t>
      </w:r>
    </w:p>
    <w:p>
      <w:pPr>
        <w:pStyle w:val="FirstParagraph"/>
      </w:pPr>
      <w:r>
        <w:t xml:space="preserve">Most people gained weight, but quitters gained more on average:</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1</m:t>
            </m:r>
          </m:e>
        </m:d>
        <m:r>
          <m:rPr>
            <m:sty m:val="p"/>
          </m:rPr>
          <m:t>=</m:t>
        </m:r>
        <m:r>
          <m:t>4.5</m:t>
        </m:r>
      </m:oMath>
      <w:r>
        <w:t xml:space="preserve"> </w:t>
      </w:r>
      <w:r>
        <w:t xml:space="preserve">kg among quitters</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0</m:t>
            </m:r>
          </m:e>
        </m:d>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p>
      <w:pPr>
        <w:pStyle w:val="FirstParagraph"/>
      </w:pPr>
      <w:r>
        <w:t xml:space="preserve">The associational difference</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1"/>
    <w:bookmarkStart w:id="12" w:name="baseline-characteristics-table-12.1"/>
    <w:p>
      <w:pPr>
        <w:pStyle w:val="Heading3"/>
      </w:pPr>
      <w:r>
        <w:t xml:space="preserve">1.3 Baseline Characteristics (Table 12.1)</w:t>
      </w:r>
    </w:p>
    <w:p>
      <w:pPr>
        <w:pStyle w:val="TableCaption"/>
      </w:pP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Caption w:val="Source: Hernán and Robins (2020, Table 12.1, p. 163)."/>
      </w:tblPr>
      <w:tblGrid>
        <w:gridCol w:w="2640"/>
        <w:gridCol w:w="2640"/>
        <w:gridCol w:w="2640"/>
      </w:tblGrid>
      <w:tr>
        <w:trPr>
          <w:tblHeader w:val="on"/>
        </w:trPr>
        <w:tc>
          <w:tcPr/>
          <w:p>
            <w:pPr>
              <w:pStyle w:val="Compact"/>
            </w:pPr>
            <w:r>
              <w:t xml:space="preserve">Mean baseline characteristic</w:t>
            </w:r>
          </w:p>
        </w:tc>
        <w:tc>
          <w:tcPr/>
          <w:p>
            <w:pPr>
              <w:pStyle w:val="Compact"/>
            </w:pPr>
            <w:r>
              <w:t xml:space="preserve">Quitters (</w:t>
            </w:r>
            <m:oMath>
              <m:r>
                <m:t>A</m:t>
              </m:r>
              <m:r>
                <m:rPr>
                  <m:sty m:val="p"/>
                </m:rPr>
                <m:t>=</m:t>
              </m:r>
              <m:r>
                <m:t>1</m:t>
              </m:r>
            </m:oMath>
            <w:r>
              <w:t xml:space="preserve">)</w:t>
            </w:r>
          </w:p>
        </w:tc>
        <w:tc>
          <w:tcPr/>
          <w:p>
            <w:pPr>
              <w:pStyle w:val="Compact"/>
            </w:pPr>
            <w:r>
              <w:t xml:space="preserve">Non-quitters (</w:t>
            </w:r>
            <m:oMath>
              <m:r>
                <m:t>A</m:t>
              </m:r>
              <m:r>
                <m:rPr>
                  <m:sty m:val="p"/>
                </m:rPr>
                <m:t>=</m:t>
              </m:r>
              <m:r>
                <m:t>0</m:t>
              </m:r>
            </m:oMath>
            <w:r>
              <w:t xml:space="preserve">)</w:t>
            </w:r>
          </w:p>
        </w:tc>
      </w:tr>
      <w:tr>
        <w:tc>
          <w:tcPr/>
          <w:p>
            <w:pPr>
              <w:pStyle w:val="Compact"/>
            </w:pPr>
            <w:r>
              <w:t xml:space="preserve">Age, years</w:t>
            </w:r>
          </w:p>
        </w:tc>
        <w:tc>
          <w:tcPr/>
          <w:p>
            <w:pPr>
              <w:pStyle w:val="Compact"/>
            </w:pPr>
            <w:r>
              <w:t xml:space="preserve">46.2</w:t>
            </w:r>
          </w:p>
        </w:tc>
        <w:tc>
          <w:tcPr/>
          <w:p>
            <w:pPr>
              <w:pStyle w:val="Compact"/>
            </w:pPr>
            <w:r>
              <w:t xml:space="preserve">42.8</w:t>
            </w:r>
          </w:p>
        </w:tc>
      </w:tr>
      <w:tr>
        <w:tc>
          <w:tcPr/>
          <w:p>
            <w:pPr>
              <w:pStyle w:val="Compact"/>
            </w:pPr>
            <w:r>
              <w:t xml:space="preserve">Men, %</w:t>
            </w:r>
          </w:p>
        </w:tc>
        <w:tc>
          <w:tcPr/>
          <w:p>
            <w:pPr>
              <w:pStyle w:val="Compact"/>
            </w:pPr>
            <w:r>
              <w:t xml:space="preserve">54.6</w:t>
            </w:r>
          </w:p>
        </w:tc>
        <w:tc>
          <w:tcPr/>
          <w:p>
            <w:pPr>
              <w:pStyle w:val="Compact"/>
            </w:pPr>
            <w:r>
              <w:t xml:space="preserve">46.6</w:t>
            </w:r>
          </w:p>
        </w:tc>
      </w:tr>
      <w:tr>
        <w:tc>
          <w:tcPr/>
          <w:p>
            <w:pPr>
              <w:pStyle w:val="Compact"/>
            </w:pPr>
            <w:r>
              <w:t xml:space="preserve">White, %</w:t>
            </w:r>
          </w:p>
        </w:tc>
        <w:tc>
          <w:tcPr/>
          <w:p>
            <w:pPr>
              <w:pStyle w:val="Compact"/>
            </w:pPr>
            <w:r>
              <w:t xml:space="preserve">91.1</w:t>
            </w:r>
          </w:p>
        </w:tc>
        <w:tc>
          <w:tcPr/>
          <w:p>
            <w:pPr>
              <w:pStyle w:val="Compact"/>
            </w:pPr>
            <w:r>
              <w:t xml:space="preserve">85.4</w:t>
            </w:r>
          </w:p>
        </w:tc>
      </w:tr>
      <w:tr>
        <w:tc>
          <w:tcPr/>
          <w:p>
            <w:pPr>
              <w:pStyle w:val="Compact"/>
            </w:pPr>
            <w:r>
              <w:t xml:space="preserve">University, %</w:t>
            </w:r>
          </w:p>
        </w:tc>
        <w:tc>
          <w:tcPr/>
          <w:p>
            <w:pPr>
              <w:pStyle w:val="Compact"/>
            </w:pPr>
            <w:r>
              <w:t xml:space="preserve">15.4</w:t>
            </w:r>
          </w:p>
        </w:tc>
        <w:tc>
          <w:tcPr/>
          <w:p>
            <w:pPr>
              <w:pStyle w:val="Compact"/>
            </w:pPr>
            <w:r>
              <w:t xml:space="preserve">9.9</w:t>
            </w:r>
          </w:p>
        </w:tc>
      </w:tr>
      <w:tr>
        <w:tc>
          <w:tcPr/>
          <w:p>
            <w:pPr>
              <w:pStyle w:val="Compact"/>
            </w:pPr>
            <w:r>
              <w:t xml:space="preserve">Weight, kg</w:t>
            </w:r>
          </w:p>
        </w:tc>
        <w:tc>
          <w:tcPr/>
          <w:p>
            <w:pPr>
              <w:pStyle w:val="Compact"/>
            </w:pPr>
            <w:r>
              <w:t xml:space="preserve">72.4</w:t>
            </w:r>
          </w:p>
        </w:tc>
        <w:tc>
          <w:tcPr/>
          <w:p>
            <w:pPr>
              <w:pStyle w:val="Compact"/>
            </w:pPr>
            <w:r>
              <w:t xml:space="preserve">70.3</w:t>
            </w:r>
          </w:p>
        </w:tc>
      </w:tr>
      <w:tr>
        <w:tc>
          <w:tcPr/>
          <w:p>
            <w:pPr>
              <w:pStyle w:val="Compact"/>
            </w:pPr>
            <w:r>
              <w:t xml:space="preserve">Cigarettes/day</w:t>
            </w:r>
          </w:p>
        </w:tc>
        <w:tc>
          <w:tcPr/>
          <w:p>
            <w:pPr>
              <w:pStyle w:val="Compact"/>
            </w:pPr>
            <w:r>
              <w:t xml:space="preserve">18.6</w:t>
            </w:r>
          </w:p>
        </w:tc>
        <w:tc>
          <w:tcPr/>
          <w:p>
            <w:pPr>
              <w:pStyle w:val="Compact"/>
            </w:pPr>
            <w:r>
              <w:t xml:space="preserve">21.2</w:t>
            </w:r>
          </w:p>
        </w:tc>
      </w:tr>
      <w:tr>
        <w:tc>
          <w:tcPr/>
          <w:p>
            <w:pPr>
              <w:pStyle w:val="Compact"/>
            </w:pPr>
            <w:r>
              <w:t xml:space="preserve">Years smoking</w:t>
            </w:r>
          </w:p>
        </w:tc>
        <w:tc>
          <w:tcPr/>
          <w:p>
            <w:pPr>
              <w:pStyle w:val="Compact"/>
            </w:pPr>
            <w:r>
              <w:t xml:space="preserve">26.0</w:t>
            </w:r>
          </w:p>
        </w:tc>
        <w:tc>
          <w:tcPr/>
          <w:p>
            <w:pPr>
              <w:pStyle w:val="Compact"/>
            </w:pPr>
            <w:r>
              <w:t xml:space="preserve">24.1</w:t>
            </w:r>
          </w:p>
        </w:tc>
      </w:tr>
      <w:tr>
        <w:tc>
          <w:tcPr/>
          <w:p>
            <w:pPr>
              <w:pStyle w:val="Compact"/>
            </w:pPr>
            <w:r>
              <w:t xml:space="preserve">Little exercise, %</w:t>
            </w:r>
          </w:p>
        </w:tc>
        <w:tc>
          <w:tcPr/>
          <w:p>
            <w:pPr>
              <w:pStyle w:val="Compact"/>
            </w:pPr>
            <w:r>
              <w:t xml:space="preserve">40.7</w:t>
            </w:r>
          </w:p>
        </w:tc>
        <w:tc>
          <w:tcPr/>
          <w:p>
            <w:pPr>
              <w:pStyle w:val="Compact"/>
            </w:pPr>
            <w:r>
              <w:t xml:space="preserve">37.9</w:t>
            </w:r>
          </w:p>
        </w:tc>
      </w:tr>
      <w:tr>
        <w:tc>
          <w:tcPr/>
          <w:p>
            <w:pPr>
              <w:pStyle w:val="Compact"/>
            </w:pPr>
            <w:r>
              <w:t xml:space="preserve">Inactive life, %</w:t>
            </w:r>
          </w:p>
        </w:tc>
        <w:tc>
          <w:tcPr/>
          <w:p>
            <w:pPr>
              <w:pStyle w:val="Compact"/>
            </w:pPr>
            <w:r>
              <w:t xml:space="preserve">11.2</w:t>
            </w:r>
          </w:p>
        </w:tc>
        <w:tc>
          <w:tcPr/>
          <w:p>
            <w:pPr>
              <w:pStyle w:val="Compact"/>
            </w:pPr>
            <w:r>
              <w:t xml:space="preserve">8.9</w:t>
            </w:r>
          </w:p>
        </w:tc>
      </w:tr>
    </w:tbl>
    <w:p>
      <w:r>
        <w:pict>
          <v:rect style="width:0;height:1.5pt" o:hralign="center" o:hrstd="t" o:hr="t"/>
        </w:pict>
      </w:r>
    </w:p>
    <w:bookmarkEnd w:id="12"/>
    <w:bookmarkStart w:id="16" w:name="measured-confounders"/>
    <w:p>
      <w:pPr>
        <w:pStyle w:val="Heading3"/>
      </w:pPr>
      <w:r>
        <w:t xml:space="preserve">1.4 Measured Confounders</w:t>
      </w:r>
    </w:p>
    <w:p>
      <w:pPr>
        <w:pStyle w:val="FirstParagraph"/>
      </w:pP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opt/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16"/>
    <w:bookmarkEnd w:id="17"/>
    <w:bookmarkStart w:id="28" w:name="X26c79ae1b329cf39aab80703dcc64b44717c376"/>
    <w:p>
      <w:pPr>
        <w:pStyle w:val="Heading2"/>
      </w:pPr>
      <w:r>
        <w:t xml:space="preserve">2 12.2 Estimating IP Weights via Modeling (pp. 164-167)</w:t>
      </w:r>
    </w:p>
    <w:p>
      <w:r>
        <w:pict>
          <v:rect style="width:0;height:1.5pt" o:hralign="center" o:hrstd="t" o:hr="t"/>
        </w:pict>
      </w:r>
    </w:p>
    <w:p>
      <w:pPr>
        <w:pStyle w:val="FirstParagraph"/>
      </w:pPr>
      <w:r>
        <w:t xml:space="preserve">IP weighting creates a pseudo-population in which the arrow from</w:t>
      </w:r>
      <w:r>
        <w:t xml:space="preserve"> </w:t>
      </w:r>
      <m:oMath>
        <m:r>
          <m:t>L</m:t>
        </m:r>
      </m:oMath>
      <w:r>
        <w:t xml:space="preserve"> </w:t>
      </w:r>
      <w:r>
        <w:t xml:space="preserve">to</w:t>
      </w:r>
      <w:r>
        <w:t xml:space="preserve"> </w:t>
      </w:r>
      <m:oMath>
        <m:r>
          <m:t>A</m:t>
        </m:r>
      </m:oMath>
      <w:r>
        <w:t xml:space="preserve"> </w:t>
      </w:r>
      <w:r>
        <w:t xml:space="preserve">is removed.</w:t>
      </w:r>
      <w:r>
        <w:t xml:space="preserve"> </w:t>
      </w:r>
      <w:r>
        <w:t xml:space="preserve">In the pseudo-population:</w:t>
      </w:r>
    </w:p>
    <w:p>
      <w:pPr>
        <w:pStyle w:val="Compact"/>
        <w:numPr>
          <w:ilvl w:val="0"/>
          <w:numId w:val="1004"/>
        </w:numPr>
      </w:pP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4"/>
        </w:numPr>
      </w:pPr>
      <w:r>
        <w:t xml:space="preserve">the mean</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w:t>
      </w:r>
      <w:r>
        <w:t xml:space="preserve">equals 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These two properties hold even if conditional exchangeability fails.</w:t>
      </w:r>
      <w:r>
        <w:t xml:space="preserve"> </w:t>
      </w:r>
      <w:r>
        <w:t xml:space="preserve">If</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hold in the actual population, then additionally:</w:t>
      </w:r>
    </w:p>
    <w:p>
      <w:pPr>
        <w:pStyle w:val="Compact"/>
        <w:numPr>
          <w:ilvl w:val="0"/>
          <w:numId w:val="1005"/>
        </w:numPr>
      </w:pPr>
      <w:r>
        <w:t xml:space="preserve">unconditional exchangeability (no confounding) holds in the pseudo-population,</w:t>
      </w:r>
    </w:p>
    <w:p>
      <w:pPr>
        <w:pStyle w:val="Compact"/>
        <w:numPr>
          <w:ilvl w:val="0"/>
          <w:numId w:val="1005"/>
        </w:numPr>
      </w:pPr>
      <m:oMath>
        <m:r>
          <m:rPr>
            <m:nor/>
            <m:sty m:val="p"/>
          </m:rPr>
          <m:t>E</m:t>
        </m:r>
        <m:d>
          <m:dPr>
            <m:begChr m:val="["/>
            <m:sepChr m:val=""/>
            <m:endChr m:val="]"/>
            <m:grow/>
          </m:dPr>
          <m:e>
            <m:sSup>
              <m:e>
                <m:r>
                  <m:t>Y</m:t>
                </m:r>
              </m:e>
              <m:sup>
                <m:r>
                  <m:t>a</m:t>
                </m:r>
              </m:sup>
            </m:sSup>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and</w:t>
      </w:r>
    </w:p>
    <w:p>
      <w:pPr>
        <w:pStyle w:val="Compact"/>
        <w:numPr>
          <w:ilvl w:val="0"/>
          <w:numId w:val="1005"/>
        </w:numPr>
      </w:pPr>
      <w:r>
        <w:t xml:space="preserve">association is causation in the pseudo-population.</w:t>
      </w:r>
    </w:p>
    <w:p>
      <w:r>
        <w:pict>
          <v:rect style="width:0;height:1.5pt" o:hralign="center" o:hrstd="t" o:hr="t"/>
        </w:pict>
      </w:r>
    </w:p>
    <w:bookmarkStart w:id="19"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6"/>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6"/>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18"/>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bookmarkEnd w:id="19"/>
    <w:bookmarkStart w:id="20" w:name="why-modeling-is-needed"/>
    <w:p>
      <w:pPr>
        <w:pStyle w:val="Heading3"/>
      </w:pPr>
      <w:r>
        <w:t xml:space="preserve">2.2 Why Modeling Is Needed</w:t>
      </w:r>
    </w:p>
    <w:p>
      <w:pPr>
        <w:pStyle w:val="FirstParagraph"/>
      </w:pP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7"/>
        </w:numPr>
      </w:pPr>
      <w:r>
        <w:t xml:space="preserve">Even recoding all 9 confounders except age to at most 6 categories each gives a tree with over 2 million branches.</w:t>
      </w:r>
    </w:p>
    <w:p>
      <w:pPr>
        <w:pStyle w:val="Compact"/>
        <w:numPr>
          <w:ilvl w:val="0"/>
          <w:numId w:val="1007"/>
        </w:numPr>
      </w:pPr>
      <w:r>
        <w:t xml:space="preserve">With the actual ranges of smoking intensity, duration, and weight, there are many millions of strata.</w:t>
      </w:r>
    </w:p>
    <w:p>
      <w:pPr>
        <w:pStyle w:val="Compact"/>
        <w:numPr>
          <w:ilvl w:val="0"/>
          <w:numId w:val="1007"/>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p>
      <w:r>
        <w:pict>
          <v:rect style="width:0;height:1.5pt" o:hralign="center" o:hrstd="t" o:hr="t"/>
        </w:pict>
      </w:r>
    </w:p>
    <w:bookmarkEnd w:id="20"/>
    <w:bookmarkStart w:id="21" w:name="the-treatment-model"/>
    <w:p>
      <w:pPr>
        <w:pStyle w:val="Heading3"/>
      </w:pPr>
      <w:r>
        <w:t xml:space="preserve">2.3 The Treatment Model</w:t>
      </w:r>
    </w:p>
    <w:p>
      <w:pPr>
        <w:pStyle w:val="FirstParagraph"/>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0"/>
          <w:numId w:val="1008"/>
        </w:numPr>
      </w:pPr>
      <w:r>
        <w:t xml:space="preserve">linear and quadratic terms for the (quasi-)continuous covariates age, weight, intensity of smoking, and duration of smoking;</w:t>
      </w:r>
    </w:p>
    <w:p>
      <w:pPr>
        <w:pStyle w:val="Compact"/>
        <w:numPr>
          <w:ilvl w:val="0"/>
          <w:numId w:val="1008"/>
        </w:numPr>
      </w:pPr>
      <w:r>
        <w:t xml:space="preserve">no product terms between covariates.</w:t>
      </w:r>
    </w:p>
    <w:p>
      <w:pPr>
        <w:pStyle w:val="FirstParagraph"/>
      </w:pPr>
      <w:r>
        <w:t xml:space="preserve">Then, for each individual:</w:t>
      </w:r>
    </w:p>
    <w:p>
      <w:pPr>
        <w:pStyle w:val="Compact"/>
        <w:numPr>
          <w:ilvl w:val="0"/>
          <w:numId w:val="1009"/>
        </w:numPr>
      </w:pPr>
      <m:oMath>
        <m:acc>
          <m:accPr>
            <m:chr m:val="̂"/>
          </m:accPr>
          <m:e>
            <m:r>
              <m:t>f</m:t>
            </m:r>
          </m:e>
        </m:acc>
        <m:r>
          <m:rPr>
            <m:sty m:val="p"/>
          </m:rPr>
          <m:t>(</m:t>
        </m:r>
        <m:r>
          <m:t>1</m:t>
        </m:r>
        <m:r>
          <m:rPr>
            <m:sty m:val="p"/>
          </m:rPr>
          <m:t>∣</m:t>
        </m:r>
        <m:r>
          <m:t>L</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1</m:t>
        </m:r>
      </m:oMath>
      <w:r>
        <w:t xml:space="preserve">,</w:t>
      </w:r>
    </w:p>
    <w:p>
      <w:pPr>
        <w:pStyle w:val="Compact"/>
        <w:numPr>
          <w:ilvl w:val="0"/>
          <w:numId w:val="1009"/>
        </w:numPr>
      </w:pPr>
      <m:oMath>
        <m:acc>
          <m:accPr>
            <m:chr m:val="̂"/>
          </m:accPr>
          <m:e>
            <m:r>
              <m:t>f</m:t>
            </m:r>
          </m:e>
        </m:acc>
        <m:r>
          <m:rPr>
            <m:sty m:val="p"/>
          </m:rPr>
          <m:t>(</m:t>
        </m:r>
        <m:r>
          <m:t>0</m:t>
        </m:r>
        <m:r>
          <m:rPr>
            <m:sty m:val="p"/>
          </m:rPr>
          <m:t>∣</m:t>
        </m:r>
        <m:r>
          <m:t>L</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0</m:t>
        </m:r>
      </m:oMath>
      <w:r>
        <w:t xml:space="preserve">,</w:t>
      </w:r>
    </w:p>
    <w:p>
      <w:pPr>
        <w:pStyle w:val="Compact"/>
        <w:numPr>
          <w:ilvl w:val="0"/>
          <w:numId w:val="1009"/>
        </w:numPr>
      </w:pP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21"/>
    <w:bookmarkStart w:id="23"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m:oMathPara>
    </w:p>
    <w:p>
      <w:pPr>
        <w:pStyle w:val="FirstParagraph"/>
      </w:pPr>
      <w:r>
        <w:t xml:space="preserve">by</w:t>
      </w:r>
      <w:r>
        <w:t xml:space="preserve"> </w:t>
      </w:r>
      <w:r>
        <w:rPr>
          <w:b/>
          <w:bCs/>
        </w:rPr>
        <w:t xml:space="preserve">weighted least squares</w:t>
      </w:r>
      <w:r>
        <w:t xml:space="preserve"> </w:t>
      </w:r>
      <w:r>
        <w:t xml:space="preserve">with weights</w:t>
      </w:r>
      <w:r>
        <w:t xml:space="preserve"> </w:t>
      </w:r>
      <m:oMath>
        <m:sSup>
          <m:e>
            <m:acc>
              <m:accPr>
                <m:chr m:val="̂"/>
              </m:accPr>
              <m:e>
                <m:r>
                  <m:t>W</m:t>
                </m:r>
              </m:e>
            </m:acc>
          </m:e>
          <m:sup>
            <m:r>
              <m:t>A</m:t>
            </m:r>
          </m:sup>
        </m:sSup>
      </m:oMath>
      <w:r>
        <w:t xml:space="preserve">, i.e., choose</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to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sSup>
            <m:e>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e>
            <m:sup>
              <m:r>
                <m:t>2</m:t>
              </m:r>
            </m:sup>
          </m:sSup>
          <m:r>
            <m:rPr>
              <m:sty m:val="p"/>
            </m:rPr>
            <m:t>.</m:t>
          </m:r>
        </m:oMath>
      </m:oMathPara>
    </w:p>
    <w:p>
      <w:pPr>
        <w:pStyle w:val="FirstParagraph"/>
      </w:pPr>
      <w:r>
        <w:t xml:space="preserve">The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nor/>
            <m:sty m:val="p"/>
          </m:rPr>
          <m:t>E</m:t>
        </m:r>
        <m:d>
          <m:dPr>
            <m:begChr m:val="["/>
            <m:sepChr m:val=""/>
            <m:endChr m:val="]"/>
            <m:grow/>
          </m:dPr>
          <m:e>
            <m:r>
              <m:t>Y</m:t>
            </m:r>
            <m:r>
              <m:rPr>
                <m:sty m:val="p"/>
              </m:rPr>
              <m:t>∣</m:t>
            </m:r>
            <m:r>
              <m:t>A</m:t>
            </m:r>
            <m:r>
              <m:rPr>
                <m:sty m:val="p"/>
              </m:rPr>
              <m:t>=</m:t>
            </m:r>
            <m:r>
              <m:t>1</m:t>
            </m:r>
          </m:e>
        </m:d>
      </m:oMath>
      <w:r>
        <w:t xml:space="preserve"> </w:t>
      </w:r>
      <w:r>
        <w:t xml:space="preserve">and</w:t>
      </w:r>
      <w:r>
        <w:t xml:space="preserve"> </w:t>
      </w:r>
      <m:oMath>
        <m:r>
          <m:rPr>
            <m:nor/>
            <m:sty m:val="p"/>
          </m:rPr>
          <m:t>E</m:t>
        </m:r>
        <m:d>
          <m:dPr>
            <m:begChr m:val="["/>
            <m:sepChr m:val=""/>
            <m:endChr m:val="]"/>
            <m:grow/>
          </m:dPr>
          <m:e>
            <m:r>
              <m:t>Y</m:t>
            </m:r>
            <m:r>
              <m:rPr>
                <m:sty m:val="p"/>
              </m:rPr>
              <m:t>∣</m:t>
            </m:r>
            <m:r>
              <m:t>A</m:t>
            </m:r>
            <m:r>
              <m:rPr>
                <m:sty m:val="p"/>
              </m:rPr>
              <m:t>=</m:t>
            </m:r>
            <m:r>
              <m:t>0</m:t>
            </m:r>
          </m:e>
        </m:d>
      </m:oMath>
      <w:r>
        <w:t xml:space="preserve">, and</w:t>
      </w:r>
      <w:r>
        <w:t xml:space="preserve"> </w:t>
      </w:r>
      <m:oMath>
        <m:sSub>
          <m:e>
            <m:r>
              <m:t>θ</m:t>
            </m:r>
          </m:e>
          <m:sub>
            <m:r>
              <m:t>1</m:t>
            </m:r>
          </m:sub>
        </m:sSub>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1</m:t>
            </m:r>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0</m:t>
            </m:r>
          </m:e>
        </m:d>
      </m:oMath>
      <w:r>
        <w:t xml:space="preserve"> </w:t>
      </w:r>
      <w:r>
        <w:t xml:space="preserve">is also an unbiased estimator of</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exm-nhefs-ipw"/>
          <w:p>
            <w:pPr>
              <w:pStyle w:val="BodyText"/>
            </w:pPr>
            <w:r>
              <w:rPr>
                <w:b/>
                <w:bCs/>
              </w:rPr>
              <w:t xml:space="preserve">Example 1 (NHEFS: Nonstabilized IP Weighting)</w:t>
            </w:r>
            <w:r>
              <w:t xml:space="preserve"> </w:t>
            </w:r>
            <w:r>
              <w:t xml:space="preserve"> </w:t>
            </w:r>
          </w:p>
          <w:p>
            <w:pPr>
              <w:pStyle w:val="Compact"/>
              <w:numPr>
                <w:ilvl w:val="0"/>
                <w:numId w:val="1010"/>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0"/>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0"/>
              </w:numPr>
            </w:pPr>
            <w:r>
              <w:t xml:space="preserve">Conservative 95% confidence interval: (2.4, 4.5).</w:t>
            </w:r>
          </w:p>
          <w:p>
            <w:pPr>
              <w:pStyle w:val="FirstParagraph"/>
            </w:pPr>
            <w:r>
              <w:t xml:space="preserve">Compare with the unadjusted difference of 2.5 kg.</w:t>
            </w:r>
          </w:p>
          <w:bookmarkEnd w:id="22"/>
        </w:tc>
      </w:tr>
    </w:tbl>
    <w:p>
      <w:pPr>
        <w:pStyle w:val="BodyText"/>
      </w:pPr>
      <w:r>
        <w:t xml:space="preserve">The mean of the nonstabilized weights is about 2 because, for a dichotomous treatment, the pseudo-population is approximately twice the size of the study population: one copy in which everyone is treated and one in which everyone is untreated (Section 12.3).</w:t>
      </w:r>
    </w:p>
    <w:p>
      <w:r>
        <w:pict>
          <v:rect style="width:0;height:1.5pt" o:hralign="center" o:hrstd="t" o:hr="t"/>
        </w:pict>
      </w:r>
    </w:p>
    <w:bookmarkEnd w:id="23"/>
    <w:bookmarkStart w:id="27" w:name="X465bf72047e5e9d757ab7c7ef0f658173e39e2a"/>
    <w:p>
      <w:pPr>
        <w:pStyle w:val="Heading3"/>
      </w:pPr>
      <w:r>
        <w:t xml:space="preserve">2.5 Confidence Intervals for IP Weighted Estimates</w:t>
      </w:r>
    </w:p>
    <w:p>
      <w:pPr>
        <w:pStyle w:val="FirstParagraph"/>
      </w:pPr>
      <w:r>
        <w:t xml:space="preserve">The confidence interval must account for the weighting.</w:t>
      </w:r>
      <w:r>
        <w:t xml:space="preserve"> </w:t>
      </w:r>
      <w:r>
        <w:t xml:space="preserve">Three options</w:t>
      </w:r>
      <w:r>
        <w:t xml:space="preserve"> </w:t>
      </w:r>
      <w:r>
        <w:t xml:space="preserve">(Hernán and Robins 2020, chap. 12, p. 166)</w:t>
      </w:r>
      <w:r>
        <w:t xml:space="preserve">:</w:t>
      </w:r>
    </w:p>
    <w:p>
      <w:pPr>
        <w:pStyle w:val="Compact"/>
        <w:numPr>
          <w:ilvl w:val="0"/>
          <w:numId w:val="1011"/>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1"/>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1"/>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nor/>
                  <m:sty m:val="p"/>
                </m:rPr>
                <m:t>E</m:t>
              </m:r>
              <m:d>
                <m:dPr>
                  <m:begChr m:val="["/>
                  <m:sepChr m:val=""/>
                  <m:endChr m:val="]"/>
                  <m:grow/>
                </m:dPr>
                <m:e>
                  <m:sSup>
                    <m:e>
                      <m:r>
                        <m:t>Y</m:t>
                      </m:r>
                    </m:e>
                    <m:sup>
                      <m:r>
                        <m:t>a</m:t>
                      </m:r>
                    </m:sup>
                  </m:sSup>
                </m:e>
              </m:d>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ht-hajek"/>
          <w:p>
            <w:pPr>
              <w:pStyle w:val="BodyText"/>
            </w:pPr>
            <w:r>
              <w:rPr>
                <w:b/>
                <w:bCs/>
              </w:rPr>
              <w:t xml:space="preserve">Definition 2 (Horvitz-Thompson and Hajek Estimators)</w:t>
            </w:r>
            <w:r>
              <w:t xml:space="preserve"> </w:t>
            </w:r>
            <w:r>
              <w:t xml:space="preserve">With</w:t>
            </w:r>
            <w:r>
              <w:t xml:space="preserve"> </w:t>
            </w:r>
            <m:oMath>
              <m:acc>
                <m:accPr>
                  <m:chr m:val="̂"/>
                </m:accPr>
                <m:e>
                  <m:r>
                    <m:rPr>
                      <m:nor/>
                      <m:sty m:val="p"/>
                    </m:rPr>
                    <m:t>E</m:t>
                  </m:r>
                </m:e>
              </m:acc>
              <m:d>
                <m:dPr>
                  <m:begChr m:val="["/>
                  <m:sepChr m:val=""/>
                  <m:endChr m:val="]"/>
                  <m:grow/>
                </m:dPr>
                <m:e>
                  <m:r>
                    <m:rPr>
                      <m:sty m:val="p"/>
                    </m:rPr>
                    <m:t>⋅</m:t>
                  </m:r>
                </m:e>
              </m:d>
            </m:oMath>
            <w:r>
              <w:t xml:space="preserve"> </w:t>
            </w:r>
            <w:r>
              <w:t xml:space="preserve">the sample average:</w:t>
            </w:r>
          </w:p>
          <w:p>
            <w:pPr>
              <w:pStyle w:val="Compact"/>
              <w:numPr>
                <w:ilvl w:val="0"/>
                <w:numId w:val="1012"/>
              </w:numPr>
            </w:pPr>
            <w:r>
              <w:rPr>
                <w:b/>
                <w:bCs/>
              </w:rPr>
              <w:t xml:space="preserve">Horvitz-Thompson estimator</w:t>
            </w:r>
            <w:r>
              <w:t xml:space="preserve"> </w:t>
            </w:r>
            <w:r>
              <w:t xml:space="preserve">(f known):</w:t>
            </w:r>
          </w:p>
          <w:p>
            <w:pPr>
              <w:pStyle w:val="Compact"/>
            </w:pPr>
            <m:oMathPara>
              <m:oMathParaPr>
                <m:jc m:val="center"/>
              </m:oMathParaPr>
              <m:oMath>
                <m:acc>
                  <m:accPr>
                    <m:chr m:val="̂"/>
                  </m:accPr>
                  <m:e>
                    <m:r>
                      <m:rPr>
                        <m:nor/>
                        <m:sty m:val="p"/>
                      </m:rPr>
                      <m:t>E</m:t>
                    </m:r>
                  </m:e>
                </m:acc>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oMath>
            </m:oMathPara>
          </w:p>
          <w:p>
            <w:pPr>
              <w:pStyle w:val="Compact"/>
              <w:numPr>
                <w:ilvl w:val="0"/>
                <w:numId w:val="1012"/>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26"/>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rPr>
                  <m:nor/>
                  <m:sty m:val="p"/>
                </m:rPr>
                <m:t>E</m:t>
              </m:r>
              <m:d>
                <m:dPr>
                  <m:begChr m:val="["/>
                  <m:sepChr m:val=""/>
                  <m:endChr m:val="]"/>
                  <m:grow/>
                </m:dP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t> </m:t>
                      </m:r>
                    </m:e>
                    <m:e>
                      <m:r>
                        <m:t> </m:t>
                      </m:r>
                      <m:r>
                        <m:t>L</m:t>
                      </m:r>
                    </m:e>
                  </m:d>
                </m:e>
              </m:d>
              <m:r>
                <m:t>&amp;</m:t>
              </m:r>
              <m:r>
                <m:t>&amp;</m:t>
              </m:r>
              <m:r>
                <m:rPr>
                  <m:nor/>
                  <m:sty m:val="p"/>
                </m:rPr>
                <m:t>(iterated expectations; </m:t>
              </m:r>
              <m:r>
                <m:rPr>
                  <m:scr m:val="double-struck"/>
                  <m:sty m:val="p"/>
                </m:rPr>
                <m:t>1</m:t>
              </m:r>
              <m:d>
                <m:dPr>
                  <m:begChr m:val="("/>
                  <m:sepChr m:val=""/>
                  <m:endChr m:val=")"/>
                  <m:grow/>
                </m:dPr>
                <m:e>
                  <m:r>
                    <m:t>A</m:t>
                  </m:r>
                  <m:r>
                    <m:rPr>
                      <m:sty m:val="p"/>
                    </m:rPr>
                    <m:t>=</m:t>
                  </m:r>
                  <m:r>
                    <m:t>a</m:t>
                  </m:r>
                </m:e>
              </m:d>
              <m:r>
                <m:rPr>
                  <m:nor/>
                  <m:sty m:val="p"/>
                </m:rPr>
                <m:t> forces </m:t>
              </m:r>
              <m:r>
                <m:t>A</m:t>
              </m:r>
              <m:r>
                <m:rPr>
                  <m:sty m:val="p"/>
                </m:rPr>
                <m:t>=</m:t>
              </m:r>
              <m:r>
                <m:t>a</m:t>
              </m:r>
              <m:r>
                <m:rPr>
                  <m:nor/>
                  <m:sty m:val="p"/>
                </m:rPr>
                <m:t>)</m:t>
              </m:r>
            </m:e>
            <m:e>
              <m:r>
                <m:t>&amp;</m:t>
              </m:r>
              <m:r>
                <m:rPr>
                  <m:sty m:val="p"/>
                </m:rPr>
                <m:t>=</m:t>
              </m:r>
              <m:r>
                <m:rPr>
                  <m:nor/>
                  <m:sty m:val="p"/>
                </m:rPr>
                <m:t>E</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&amp;</m:t>
              </m:r>
              <m:r>
                <m:t>&amp;</m:t>
              </m:r>
              <m:r>
                <m:rPr>
                  <m:nor/>
                  <m:sty m:val="p"/>
                </m:rPr>
                <m:t>(</m:t>
              </m:r>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L</m:t>
                  </m:r>
                </m:e>
              </m:d>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nor/>
                  <m:sty m:val="p"/>
                </m:rPr>
                <m:t>E</m:t>
              </m:r>
              <m:d>
                <m:dPr>
                  <m:begChr m:val="["/>
                  <m:sepChr m:val=""/>
                  <m:endChr m:val="]"/>
                  <m:grow/>
                </m:dPr>
                <m:e>
                  <m:r>
                    <m:t>1</m:t>
                  </m:r>
                </m:e>
              </m:d>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which equals</w:t>
      </w:r>
      <w:r>
        <w:t xml:space="preserve"> </w:t>
      </w:r>
      <m:oMath>
        <m:r>
          <m:rPr>
            <m:nor/>
            <m:sty m:val="p"/>
          </m:rPr>
          <m:t>E</m:t>
        </m:r>
        <m:d>
          <m:dPr>
            <m:begChr m:val="["/>
            <m:sepChr m:val=""/>
            <m:endChr m:val="]"/>
            <m:grow/>
          </m:dPr>
          <m:e>
            <m:sSup>
              <m:e>
                <m:r>
                  <m:t>Y</m:t>
                </m:r>
              </m:e>
              <m:sup>
                <m:r>
                  <m:t>a</m:t>
                </m:r>
              </m:sup>
            </m:sSup>
          </m:e>
        </m:d>
      </m:oMath>
      <w:r>
        <w:t xml:space="preserve"> </w:t>
      </w:r>
      <w:r>
        <w:t xml:space="preserve">under exchangeability and positivity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exchangeability is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27"/>
    <w:bookmarkEnd w:id="28"/>
    <w:bookmarkStart w:id="37"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p>
      <w:pPr>
        <w:pStyle w:val="Compact"/>
        <w:numPr>
          <w:ilvl w:val="0"/>
          <w:numId w:val="1013"/>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twice the size of the study population (mean weight 2): one treated copy and one untreated copy.</w:t>
      </w:r>
    </w:p>
    <w:p>
      <w:pPr>
        <w:pStyle w:val="Compact"/>
        <w:numPr>
          <w:ilvl w:val="0"/>
          <w:numId w:val="1013"/>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is the same size as the study population (mean weight 1).</w:t>
      </w:r>
    </w:p>
    <w:p>
      <w:pPr>
        <w:pStyle w:val="Compact"/>
        <w:numPr>
          <w:ilvl w:val="0"/>
          <w:numId w:val="1013"/>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p>
      <w:r>
        <w:pict>
          <v:rect style="width:0;height:1.5pt" o:hralign="center" o:hrstd="t" o:hr="t"/>
        </w:pict>
      </w:r>
    </w:p>
    <w:bookmarkStart w:id="29" w:name="Xb874ec628c6dbc2d02a1384eafb4cba951bf3d2"/>
    <w:p>
      <w:pPr>
        <w:pStyle w:val="Heading3"/>
      </w:pPr>
      <w:r>
        <w:t xml:space="preserve">3.1 Why Rescaling Does Not Change the Estimate</w:t>
      </w:r>
    </w:p>
    <w:p>
      <w:pPr>
        <w:pStyle w:val="FirstParagraph"/>
      </w:pP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is unchanged:</w:t>
      </w:r>
    </w:p>
    <w:p>
      <w:pPr>
        <w:pStyle w:val="BodyText"/>
      </w:pPr>
      <m:oMathPara>
        <m:oMathParaPr>
          <m:jc m:val="center"/>
        </m:oMathParaPr>
        <m:oMath>
          <m:eqArr>
            <m:e>
              <m:f>
                <m:fPr>
                  <m:type m:val="bar"/>
                </m:fPr>
                <m:num>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rPr>
                  <m:sty m:val="p"/>
                </m:rPr>
                <m:t>=</m:t>
              </m:r>
              <m:f>
                <m:fPr>
                  <m:type m:val="bar"/>
                </m:fPr>
                <m:num>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(constants factor out of averages)</m:t>
              </m:r>
            </m:e>
            <m:e>
              <m:r>
                <m:t>&amp;</m:t>
              </m:r>
              <m:r>
                <m:rPr>
                  <m:sty m:val="p"/>
                </m:rPr>
                <m:t>=</m:t>
              </m:r>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(cancel </m:t>
              </m:r>
              <m:r>
                <m:t>p</m:t>
              </m:r>
              <m:r>
                <m:rPr>
                  <m:nor/>
                  <m:sty m:val="p"/>
                </m:rPr>
                <m:t>)</m:t>
              </m:r>
            </m:e>
          </m:eqArr>
        </m:oMath>
      </m:oMathPara>
    </w:p>
    <w:p>
      <w:pPr>
        <w:pStyle w:val="FirstParagraph"/>
      </w:pPr>
      <w:r>
        <w:t xml:space="preserve">so the difference between treatment levels is unchanged too.</w:t>
      </w:r>
    </w:p>
    <w:p>
      <w:r>
        <w:pict>
          <v:rect style="width:0;height:1.5pt" o:hralign="center" o:hrstd="t" o:hr="t"/>
        </w:pict>
      </w:r>
    </w:p>
    <w:bookmarkEnd w:id="29"/>
    <w:bookmarkStart w:id="31"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stabilized-weights"/>
          <w:p>
            <w:pPr>
              <w:pStyle w:val="BodyText"/>
            </w:pPr>
            <w:r>
              <w:rPr>
                <w:b/>
                <w:bCs/>
              </w:rPr>
              <w:t xml:space="preserve">Definition 3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4"/>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4"/>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30"/>
        </w:tc>
      </w:tr>
    </w:tbl>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Because the pseudo-population created by</w:t>
      </w:r>
      <w:r>
        <w:t xml:space="preserve"> </w:t>
      </w:r>
      <m:oMath>
        <m:r>
          <m:t>S</m:t>
        </m:r>
        <m:sSup>
          <m:e>
            <m:r>
              <m:t>W</m:t>
            </m:r>
          </m:e>
          <m:sup>
            <m:r>
              <m:t>A</m:t>
            </m:r>
          </m:sup>
        </m:sSup>
      </m:oMath>
      <w:r>
        <w:t xml:space="preserve"> </w:t>
      </w:r>
      <w:r>
        <w:t xml:space="preserve">has the same size as the study population, the mean of the stabilized weights is</w:t>
      </w:r>
      <w:r>
        <w:t xml:space="preserve"> </w:t>
      </w:r>
      <w:r>
        <w:rPr>
          <w:b/>
          <w:bCs/>
        </w:rPr>
        <w:t xml:space="preserve">expected</w:t>
      </w:r>
      <w:r>
        <w:t xml:space="preserve"> </w:t>
      </w:r>
      <w:r>
        <w:t xml:space="preserve">to be 1.</w:t>
      </w:r>
      <w:r>
        <w:t xml:space="preserve"> </w:t>
      </w:r>
      <w:r>
        <w:t xml:space="preserve">In data analyses one should check this: 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31"/>
    <w:bookmarkStart w:id="33" w:name="estimation"/>
    <w:p>
      <w:pPr>
        <w:pStyle w:val="Heading3"/>
      </w:pPr>
      <w:r>
        <w:t xml:space="preserve">3.3 Estimation</w:t>
      </w:r>
    </w:p>
    <w:p>
      <w:pPr>
        <w:pStyle w:val="Compact"/>
        <w:numPr>
          <w:ilvl w:val="0"/>
          <w:numId w:val="1015"/>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5"/>
        </w:numPr>
      </w:pPr>
      <w:r>
        <w:rPr>
          <w:b/>
          <w:bCs/>
        </w:rPr>
        <w:t xml:space="preserve">Numerator</w:t>
      </w:r>
      <w:r>
        <w:t xml:space="preserve">:</w:t>
      </w:r>
      <w:r>
        <w:t xml:space="preserve"> </w:t>
      </w:r>
      <m:oMath>
        <m:acc>
          <m:accPr>
            <m:chr m:val="̂"/>
          </m:accPr>
          <m:e>
            <m:r>
              <m:rPr>
                <m:sty m:val="p"/>
              </m:rPr>
              <m:t>Pr</m:t>
            </m:r>
          </m:e>
        </m:acc>
        <m:r>
          <m:rPr>
            <m:sty m:val="p"/>
          </m:rPr>
          <m:t>[</m:t>
        </m:r>
        <m:r>
          <m:t>A</m:t>
        </m:r>
        <m:r>
          <m:rPr>
            <m:sty m:val="p"/>
          </m:rPr>
          <m:t>=</m:t>
        </m:r>
        <m:r>
          <m:t>1</m:t>
        </m:r>
        <m:r>
          <m:rPr>
            <m:sty m:val="p"/>
          </m:rPr>
          <m:t>]</m:t>
        </m:r>
        <m:r>
          <m:rPr>
            <m:sty m:val="p"/>
          </m:rPr>
          <m:t>=</m:t>
        </m:r>
        <m:r>
          <m:t>403</m:t>
        </m:r>
        <m:r>
          <m:rPr>
            <m:sty m:val="p"/>
          </m:rPr>
          <m:t>/</m:t>
        </m:r>
        <m:r>
          <m:t>1566</m:t>
        </m:r>
      </m:oMath>
      <w:r>
        <w:t xml:space="preserve">, equivalently a saturated (intercept-only) logistic model.</w:t>
      </w:r>
    </w:p>
    <w:p>
      <w:pPr>
        <w:pStyle w:val="Compact"/>
        <w:numPr>
          <w:ilvl w:val="0"/>
          <w:numId w:val="1015"/>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acc>
          <m:accPr>
            <m:chr m:val="̂"/>
          </m:accPr>
          <m:e>
            <m:r>
              <m:rPr>
                <m:sty m:val="p"/>
              </m:rPr>
              <m:t>Pr</m:t>
            </m:r>
          </m:e>
        </m:acc>
        <m:r>
          <m:rPr>
            <m:sty m:val="p"/>
          </m:rPr>
          <m:t>[</m:t>
        </m:r>
        <m:r>
          <m:t>A</m:t>
        </m:r>
        <m:r>
          <m:rPr>
            <m:sty m:val="p"/>
          </m:rPr>
          <m:t>=</m:t>
        </m:r>
        <m:r>
          <m:t>1</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quitters and</w:t>
      </w:r>
      <w:r>
        <w:t xml:space="preserve"> </w:t>
      </w:r>
      <m:oMath>
        <m:r>
          <m:rPr>
            <m:sty m:val="p"/>
          </m:rPr>
          <m:t>(</m:t>
        </m:r>
        <m:r>
          <m:t>1</m:t>
        </m:r>
        <m:r>
          <m:rPr>
            <m:sty m:val="p"/>
          </m:rPr>
          <m:t>−</m:t>
        </m:r>
        <m:acc>
          <m:accPr>
            <m:chr m:val="̂"/>
          </m:accPr>
          <m:e>
            <m:r>
              <m:rPr>
                <m:sty m:val="p"/>
              </m:rPr>
              <m:t>Pr</m:t>
            </m:r>
          </m:e>
        </m:acc>
        <m:r>
          <m:rPr>
            <m:sty m:val="p"/>
          </m:rPr>
          <m:t>[</m:t>
        </m:r>
        <m:r>
          <m:t>A</m:t>
        </m:r>
        <m:r>
          <m:rPr>
            <m:sty m:val="p"/>
          </m:rPr>
          <m:t>=</m:t>
        </m:r>
        <m:r>
          <m:t>1</m:t>
        </m:r>
        <m:r>
          <m:rPr>
            <m:sty m:val="p"/>
          </m:rPr>
          <m:t>]</m:t>
        </m:r>
        <m:r>
          <m:rPr>
            <m:sty m:val="p"/>
          </m:rPr>
          <m:t>)</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r>
          <m:rPr>
            <m:sty m:val="p"/>
          </m:rPr>
          <m:t>)</m:t>
        </m:r>
      </m:oMath>
      <w:r>
        <w:t xml:space="preserve"> </w:t>
      </w:r>
      <w:r>
        <w:t xml:space="preserve">for non-quitters.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exm-nhefs-sw"/>
          <w:p>
            <w:pPr>
              <w:pStyle w:val="BodyText"/>
            </w:pPr>
            <w:r>
              <w:rPr>
                <w:b/>
                <w:bCs/>
              </w:rPr>
              <w:t xml:space="preserve">Example 2 (NHEFS: Stabilized IP Weighting)</w:t>
            </w:r>
            <w:r>
              <w:t xml:space="preserve"> </w:t>
            </w:r>
            <w:r>
              <w:t xml:space="preserve"> </w:t>
            </w:r>
          </w:p>
          <w:p>
            <w:pPr>
              <w:pStyle w:val="Compact"/>
              <w:numPr>
                <w:ilvl w:val="0"/>
                <w:numId w:val="1016"/>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6"/>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32"/>
        </w:tc>
      </w:tr>
    </w:tbl>
    <w:p>
      <w:r>
        <w:pict>
          <v:rect style="width:0;height:1.5pt" o:hralign="center" o:hrstd="t" o:hr="t"/>
        </w:pict>
      </w:r>
    </w:p>
    <w:bookmarkEnd w:id="33"/>
    <w:bookmarkStart w:id="36" w:name="why-stabilize"/>
    <w:p>
      <w:pPr>
        <w:pStyle w:val="Heading3"/>
      </w:pPr>
      <w:r>
        <w:t xml:space="preserve">3.4 Why Stabilize?</w:t>
      </w:r>
    </w:p>
    <w:p>
      <w:pPr>
        <w:pStyle w:val="FirstParagraph"/>
      </w:pPr>
      <w:r>
        <w:t xml:space="preserve">If both kinds of weights give the same estimate, why stabilize?</w:t>
      </w:r>
    </w:p>
    <w:p>
      <w:pPr>
        <w:pStyle w:val="Compact"/>
        <w:numPr>
          <w:ilvl w:val="0"/>
          <w:numId w:val="1017"/>
        </w:numPr>
      </w:pPr>
      <w:r>
        <w:t xml:space="preserve">Stabilized weights typically give</w:t>
      </w:r>
      <w:r>
        <w:t xml:space="preserve"> </w:t>
      </w:r>
      <w:r>
        <w:rPr>
          <w:b/>
          <w:bCs/>
        </w:rPr>
        <w:t xml:space="preserve">narrower confidence intervals</w:t>
      </w:r>
      <w:r>
        <w:t xml:space="preserve">.</w:t>
      </w:r>
    </w:p>
    <w:p>
      <w:pPr>
        <w:pStyle w:val="Compact"/>
        <w:numPr>
          <w:ilvl w:val="0"/>
          <w:numId w:val="1017"/>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7"/>
        </w:numPr>
      </w:pPr>
      <w:r>
        <w:t xml:space="preserve">Here,</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7"/>
        </w:numPr>
      </w:pPr>
      <w:r>
        <w:t xml:space="preserve">With time-varying or continuous treatments the weighted model cannot be saturated, and stabilized weights are used (Section 12.4).</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18"/>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18"/>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19"/>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19"/>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36"/>
    <w:bookmarkEnd w:id="37"/>
    <w:bookmarkStart w:id="46"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def-msm"/>
          <w:p>
            <w:pPr>
              <w:pStyle w:val="BodyText"/>
            </w:pPr>
            <w:r>
              <w:rPr>
                <w:b/>
                <w:bCs/>
              </w:rPr>
              <w:t xml:space="preserve">Definition 4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38"/>
        </w:tc>
      </w:tr>
    </w:tbl>
    <w:p>
      <w:pPr>
        <w:pStyle w:val="BodyText"/>
      </w:pPr>
      <w:r>
        <w:t xml:space="preserve">The treatment parameters of a structural mean model are average causal effects: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39" w:name="Xe84582f68f8c1f71091cc7201b90d5a3c2b7dcb"/>
    <w:p>
      <w:pPr>
        <w:pStyle w:val="Heading3"/>
      </w:pPr>
      <w:r>
        <w:t xml:space="preserve">4.1 Fitting a Marginal Structural Model by IP Weighting</w:t>
      </w:r>
    </w:p>
    <w:p>
      <w:pPr>
        <w:pStyle w:val="Compact"/>
        <w:numPr>
          <w:ilvl w:val="0"/>
          <w:numId w:val="1020"/>
        </w:numPr>
      </w:pPr>
      <w:r>
        <w:t xml:space="preserve">Use IP weights to create a pseudo-population in which (under our assumptions) association is causation.</w:t>
      </w:r>
    </w:p>
    <w:p>
      <w:pPr>
        <w:pStyle w:val="Compact"/>
        <w:numPr>
          <w:ilvl w:val="0"/>
          <w:numId w:val="1020"/>
        </w:numPr>
      </w:pPr>
      <w:r>
        <w:t xml:space="preserve">Fit the associational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0"/>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FirstParagraph"/>
      </w:pPr>
      <w:r>
        <w:rPr>
          <w:b/>
          <w:bCs/>
        </w:rPr>
        <w:t xml:space="preserve">Pseudo-code</w:t>
      </w:r>
      <w:r>
        <w:t xml:space="preserve">:</w:t>
      </w:r>
    </w:p>
    <w:p>
      <w:pPr>
        <w:pStyle w:val="SourceCode"/>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p>
      <w:pPr>
        <w:pStyle w:val="FirstParagraph"/>
      </w:pPr>
      <w:r>
        <w:t xml:space="preserve">The model</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nor/>
            <m:sty m:val="p"/>
          </m:rPr>
          <m:t>E</m:t>
        </m:r>
        <m:d>
          <m:dPr>
            <m:begChr m:val="["/>
            <m:sepChr m:val=""/>
            <m:endChr m:val="]"/>
            <m:grow/>
          </m:dPr>
          <m:e>
            <m:sSup>
              <m:e>
                <m:r>
                  <m:t>Y</m:t>
                </m:r>
              </m:e>
              <m:sup>
                <m:r>
                  <m:t>a</m:t>
                </m:r>
                <m:r>
                  <m:rPr>
                    <m:sty m:val="p"/>
                  </m:rPr>
                  <m:t>=</m:t>
                </m:r>
                <m:r>
                  <m:t>1</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nor/>
            <m:sty m:val="p"/>
          </m:rPr>
          <m:t>E</m:t>
        </m:r>
        <m:d>
          <m:dPr>
            <m:begChr m:val="["/>
            <m:sepChr m:val=""/>
            <m:endChr m:val="]"/>
            <m:grow/>
          </m:dPr>
          <m:e>
            <m:sSup>
              <m:e>
                <m:r>
                  <m:t>Y</m:t>
                </m:r>
              </m:e>
              <m:sup>
                <m:r>
                  <m:t>a</m:t>
                </m:r>
              </m:sup>
            </m:sSup>
          </m:e>
        </m:d>
      </m:oMath>
      <w:r>
        <w:t xml:space="preserve"> </w:t>
      </w:r>
      <w:r>
        <w:t xml:space="preserve">that has an intercept, with treatment terms whose coefficients can all be 0, is correctly specified.</w:t>
      </w:r>
      <w:r>
        <w:t xml:space="preserve"> </w:t>
      </w:r>
      <w:r>
        <w:t xml:space="preserve">For example,</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nor/>
            <m:sty m:val="p"/>
          </m:rPr>
          <m:t>E</m:t>
        </m:r>
        <m:d>
          <m:dPr>
            <m:begChr m:val="["/>
            <m:sepChr m:val=""/>
            <m:endChr m:val="]"/>
            <m:grow/>
          </m:dPr>
          <m:e>
            <m:sSup>
              <m:e>
                <m:r>
                  <m:t>Y</m:t>
                </m:r>
              </m:e>
              <m:sup>
                <m:r>
                  <m:t>a</m:t>
                </m:r>
              </m:sup>
            </m:sSup>
          </m:e>
        </m:d>
      </m:oMath>
      <w:r>
        <w:t xml:space="preserve"> </w:t>
      </w:r>
      <w:r>
        <w:t xml:space="preserve">for every</w:t>
      </w:r>
      <w:r>
        <w:t xml:space="preserve"> </w:t>
      </w:r>
      <m:oMath>
        <m:r>
          <m:t>a</m:t>
        </m:r>
      </m:oMath>
      <w:r>
        <w:t xml:space="preserve">.</w:t>
      </w:r>
    </w:p>
    <w:p>
      <w:r>
        <w:pict>
          <v:rect style="width:0;height:1.5pt" o:hralign="center" o:hrstd="t" o:hr="t"/>
        </w:pict>
      </w:r>
    </w:p>
    <w:bookmarkEnd w:id="39"/>
    <w:bookmarkStart w:id="41"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def-msm-continuous"/>
          <w:p>
            <w:pPr>
              <w:pStyle w:val="BodyText"/>
            </w:pPr>
            <w:r>
              <w:rPr>
                <w:b/>
                <w:bCs/>
              </w:rPr>
              <w:t xml:space="preserve">Definition 5 (Nonsaturated Marginal Structural Model for a Continuous Treatment)</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 mean weight gain with no change in smoking intensity.</w:t>
            </w:r>
          </w:p>
          <w:bookmarkEnd w:id="40"/>
        </w:tc>
      </w:tr>
    </w:tbl>
    <w:p>
      <w:r>
        <w:pict>
          <v:rect style="width:0;height:1.5pt" o:hralign="center" o:hrstd="t" o:hr="t"/>
        </w:pict>
      </w:r>
    </w:p>
    <w:bookmarkEnd w:id="41"/>
    <w:bookmarkStart w:id="42" w:name="Xbc3f19534599f45786ca228b19d146f3357f540"/>
    <w:p>
      <w:pPr>
        <w:pStyle w:val="Heading3"/>
      </w:pPr>
      <w:r>
        <w:t xml:space="preserve">4.3 Effect of Increasing Intensity by 20 Cigarettes/Day</w:t>
      </w:r>
    </w:p>
    <w:p>
      <w:pPr>
        <w:pStyle w:val="FirstParagraph"/>
      </w:pPr>
      <m:oMathPara>
        <m:oMathParaPr>
          <m:jc m:val="center"/>
        </m:oMathParaPr>
        <m:oMath>
          <m:eqArr>
            <m:e>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42"/>
    <w:bookmarkStart w:id="44"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p>
      <w:pPr>
        <w:pStyle w:val="BodyText"/>
      </w:pPr>
      <w:r>
        <w:t xml:space="preserve">In the NHEFS analysis:</w:t>
      </w:r>
    </w:p>
    <w:p>
      <w:pPr>
        <w:pStyle w:val="Compact"/>
        <w:numPr>
          <w:ilvl w:val="0"/>
          <w:numId w:val="1021"/>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nor/>
            <m:sty m:val="p"/>
          </m:rPr>
          <m:t>E</m:t>
        </m:r>
        <m:d>
          <m:dPr>
            <m:begChr m:val="["/>
            <m:sepChr m:val=""/>
            <m:endChr m:val="]"/>
            <m:grow/>
          </m:dPr>
          <m:e>
            <m:r>
              <m:t>A</m:t>
            </m:r>
            <m:r>
              <m:rPr>
                <m:sty m:val="p"/>
              </m:rPr>
              <m:t>∣</m:t>
            </m:r>
            <m:r>
              <m:t>L</m:t>
            </m:r>
          </m:e>
        </m:d>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1"/>
        </w:numPr>
      </w:pPr>
      <m:oMath>
        <m:r>
          <m:t>f</m:t>
        </m:r>
        <m:r>
          <m:rPr>
            <m:sty m:val="p"/>
          </m:rPr>
          <m:t>(</m:t>
        </m:r>
        <m:r>
          <m:t>A</m:t>
        </m:r>
        <m:r>
          <m:rPr>
            <m:sty m:val="p"/>
          </m:rPr>
          <m:t>)</m:t>
        </m:r>
      </m:oMath>
      <w:r>
        <w:t xml:space="preserve"> </w:t>
      </w:r>
      <w:r>
        <w:t xml:space="preserve">in the numerator: also normal;</w:t>
      </w:r>
    </w:p>
    <w:p>
      <w:pPr>
        <w:pStyle w:val="Compact"/>
        <w:numPr>
          <w:ilvl w:val="0"/>
          <w:numId w:val="1021"/>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p>
      <w:pPr>
        <w:pStyle w:val="FirstParagraph"/>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exm-nhefs-continuous"/>
          <w:p>
            <w:pPr>
              <w:pStyle w:val="BodyText"/>
            </w:pPr>
            <w:r>
              <w:rPr>
                <w:b/>
                <w:bCs/>
              </w:rPr>
              <w:t xml:space="preserve">Example 3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nor/>
                        <m:sty m:val="p"/>
                      </m:rPr>
                      <m:t>E</m:t>
                    </m:r>
                    <m:d>
                      <m:dPr>
                        <m:begChr m:val="["/>
                        <m:sepChr m:val=""/>
                        <m:endChr m:val="]"/>
                        <m:grow/>
                      </m:dPr>
                      <m:e>
                        <m:sSup>
                          <m:e>
                            <m:r>
                              <m:t>Y</m:t>
                            </m:r>
                          </m:e>
                          <m:sup>
                            <m:r>
                              <m:t>a</m:t>
                            </m:r>
                            <m:r>
                              <m:rPr>
                                <m:sty m:val="p"/>
                              </m:rPr>
                              <m:t>=</m:t>
                            </m:r>
                            <m:r>
                              <m:t>0</m:t>
                            </m:r>
                          </m:sup>
                        </m:sSup>
                      </m:e>
                    </m:d>
                  </m:oMath>
                  <w:r>
                    <w:t xml:space="preserve"> </w:t>
                  </w:r>
                  <w:r>
                    <w:t xml:space="preserve">(no change in intensity)</w:t>
                  </w:r>
                </w:p>
              </w:tc>
              <w:tc>
                <w:tcPr/>
                <w:p>
                  <w:pPr>
                    <w:pStyle w:val="Compact"/>
                  </w:pPr>
                  <w:r>
                    <w:t xml:space="preserve">2.0 kg (1.4, 2.6)</w:t>
                  </w:r>
                </w:p>
              </w:tc>
            </w:tr>
            <w:tr>
              <w:tc>
                <w:tcPr/>
                <w:p>
                  <w:pPr>
                    <w:pStyle w:val="Compact"/>
                  </w:pPr>
                  <m:oMath>
                    <m:r>
                      <m:rPr>
                        <m:nor/>
                        <m:sty m:val="p"/>
                      </m:rPr>
                      <m:t>E</m:t>
                    </m:r>
                    <m:d>
                      <m:dPr>
                        <m:begChr m:val="["/>
                        <m:sepChr m:val=""/>
                        <m:endChr m:val="]"/>
                        <m:grow/>
                      </m:dPr>
                      <m:e>
                        <m:sSup>
                          <m:e>
                            <m:r>
                              <m:t>Y</m:t>
                            </m:r>
                          </m:e>
                          <m:sup>
                            <m:r>
                              <m:t>a</m:t>
                            </m:r>
                            <m:r>
                              <m:rPr>
                                <m:sty m:val="p"/>
                              </m:rPr>
                              <m:t>=</m:t>
                            </m:r>
                            <m:r>
                              <m:t>20</m:t>
                            </m:r>
                          </m:sup>
                        </m:sSup>
                      </m:e>
                    </m:d>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43"/>
        </w:tc>
      </w:tr>
    </w:tbl>
    <w:p>
      <w:pPr>
        <w:pStyle w:val="BodyText"/>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r>
        <w:pict>
          <v:rect style="width:0;height:1.5pt" o:hralign="center" o:hrstd="t" o:hr="t"/>
        </w:pict>
      </w:r>
    </w:p>
    <w:bookmarkEnd w:id="44"/>
    <w:bookmarkStart w:id="45" w:name="Xf1b7fce8ba51efc151a1f2d69077bf7491d4647"/>
    <w:p>
      <w:pPr>
        <w:pStyle w:val="Heading3"/>
      </w:pPr>
      <w:r>
        <w:t xml:space="preserve">4.5 Dichotomous Outcome: Marginal Structural Logistic Model</w:t>
      </w:r>
    </w:p>
    <w:p>
      <w:pPr>
        <w:pStyle w:val="FirstParagraph"/>
      </w:pPr>
      <w:r>
        <w:t xml:space="preserve">For the effect of quitting smoking</w:t>
      </w:r>
      <w:r>
        <w:t xml:space="preserve"> </w:t>
      </w:r>
      <m:oMath>
        <m:r>
          <m:t>A</m:t>
        </m:r>
      </m:oMath>
      <w:r>
        <w:t xml:space="preserve"> </w:t>
      </w:r>
      <w:r>
        <w:t xml:space="preserve">on death</w:t>
      </w:r>
      <w:r>
        <w:t xml:space="preserve"> </w:t>
      </w:r>
      <m:oMath>
        <m:r>
          <m:t>D</m:t>
        </m:r>
      </m:oMath>
      <w:r>
        <w:t xml:space="preserve"> </w:t>
      </w:r>
      <w:r>
        <w:t xml:space="preserve">by 1992 (1: yes, 0: no):</w:t>
      </w:r>
    </w:p>
    <w:p>
      <w:pPr>
        <w:pStyle w:val="BodyText"/>
      </w:pPr>
      <m:oMathPara>
        <m:oMathParaPr>
          <m:jc m:val="center"/>
        </m:oMathParaPr>
        <m:oMath>
          <m:r>
            <m:rPr>
              <m:no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oMath>
      </m:oMathPara>
    </w:p>
    <w:p>
      <w:pPr>
        <w:pStyle w:val="Compact"/>
        <w:numPr>
          <w:ilvl w:val="0"/>
          <w:numId w:val="1022"/>
        </w:numPr>
      </w:pPr>
      <m:oMath>
        <m:r>
          <m:rPr>
            <m:nor/>
            <m:sty m:val="p"/>
          </m:rPr>
          <m:t>exp</m:t>
        </m:r>
        <m:d>
          <m:dPr>
            <m:begChr m:val="{"/>
            <m:sepChr m:val=""/>
            <m:endChr m:val="}"/>
            <m:grow/>
          </m:dPr>
          <m:e>
            <m:sSub>
              <m:e>
                <m:r>
                  <m:t>α</m:t>
                </m:r>
              </m:e>
              <m:sub>
                <m:r>
                  <m:t>1</m:t>
                </m:r>
              </m:sub>
            </m:sSub>
          </m:e>
        </m:d>
      </m:oMath>
      <w:r>
        <w:t xml:space="preserve"> </w:t>
      </w:r>
      <w:r>
        <w:t xml:space="preserve">is the causal odds ratio of death comparing quitting with not quitting.</w:t>
      </w:r>
    </w:p>
    <w:p>
      <w:pPr>
        <w:pStyle w:val="Compact"/>
        <w:numPr>
          <w:ilvl w:val="0"/>
          <w:numId w:val="1022"/>
        </w:numPr>
      </w:pPr>
      <w:r>
        <w:t xml:space="preserve">Estimate it by fitting</w:t>
      </w:r>
      <w:r>
        <w:t xml:space="preserve"> </w:t>
      </w:r>
      <m:oMath>
        <m:r>
          <m:rPr>
            <m:no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w:t>
      </w:r>
    </w:p>
    <w:p>
      <w:pPr>
        <w:pStyle w:val="Compact"/>
        <w:numPr>
          <w:ilvl w:val="0"/>
          <w:numId w:val="1022"/>
        </w:numPr>
      </w:pPr>
      <w:r>
        <w:t xml:space="preserve">NHEFS estimate:</w:t>
      </w:r>
      <w:r>
        <w:t xml:space="preserve"> </w:t>
      </w:r>
      <m:oMath>
        <m:r>
          <m:rPr>
            <m:nor/>
            <m:sty m:val="p"/>
          </m:rPr>
          <m:t>exp</m:t>
        </m:r>
        <m:d>
          <m:dPr>
            <m:begChr m:val="{"/>
            <m:sepChr m:val=""/>
            <m:endChr m:val="}"/>
            <m:grow/>
          </m:dPr>
          <m:e>
            <m:sSub>
              <m:e>
                <m:acc>
                  <m:accPr>
                    <m:chr m:val="̂"/>
                  </m:accPr>
                  <m:e>
                    <m:r>
                      <m:t>θ</m:t>
                    </m:r>
                  </m:e>
                </m:acc>
              </m:e>
              <m:sub>
                <m:r>
                  <m:t>1</m:t>
                </m:r>
              </m:sub>
            </m:sSub>
          </m:e>
        </m:d>
        <m:r>
          <m:rPr>
            <m:sty m:val="p"/>
          </m:rPr>
          <m:t>=</m:t>
        </m:r>
        <m:r>
          <m:t>1.0</m:t>
        </m:r>
      </m:oMath>
      <w:r>
        <w:t xml:space="preserve"> </w:t>
      </w:r>
      <w:r>
        <w:t xml:space="preserve">(95% CI: 0.8, 1.4).</w:t>
      </w:r>
    </w:p>
    <w:p>
      <w:pPr>
        <w:pStyle w:val="FirstParagraph"/>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45"/>
    <w:bookmarkEnd w:id="46"/>
    <w:bookmarkStart w:id="52"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def-msm-effect-modification"/>
          <w:p>
            <w:pPr>
              <w:pStyle w:val="BodyText"/>
            </w:pPr>
            <w:r>
              <w:rPr>
                <w:b/>
                <w:bCs/>
              </w:rPr>
              <w:t xml:space="preserve">Definition 6 (Marginal Structural Model with an Effect Modifier)</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V</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r>
                          <m:rPr>
                            <m:sty m:val="p"/>
                          </m:rPr>
                          <m:t>∣</m:t>
                        </m:r>
                        <m:r>
                          <m:t>V</m:t>
                        </m:r>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r>
                          <m:rPr>
                            <m:sty m:val="p"/>
                          </m:rPr>
                          <m:t>=</m:t>
                        </m:r>
                        <m:r>
                          <m:t>v</m:t>
                        </m:r>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47"/>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48" w:name="fitting-the-model"/>
    <w:p>
      <w:pPr>
        <w:pStyle w:val="Heading3"/>
      </w:pPr>
      <w:r>
        <w:t xml:space="preserve">5.1 Fitting the Model</w:t>
      </w:r>
    </w:p>
    <w:p>
      <w:pPr>
        <w:pStyle w:val="Compact"/>
        <w:numPr>
          <w:ilvl w:val="0"/>
          <w:numId w:val="1023"/>
        </w:numPr>
      </w:pPr>
      <w:r>
        <w:t xml:space="preserve">Fit</w:t>
      </w:r>
      <w:r>
        <w:t xml:space="preserve"> </w:t>
      </w:r>
      <m:oMath>
        <m:r>
          <m:rPr>
            <m:nor/>
            <m:sty m:val="p"/>
          </m:rPr>
          <m:t>E</m:t>
        </m:r>
        <m:d>
          <m:dPr>
            <m:begChr m:val="["/>
            <m:sepChr m:val=""/>
            <m:endChr m:val="]"/>
            <m:grow/>
          </m:dPr>
          <m:e>
            <m:r>
              <m:t>Y</m:t>
            </m:r>
            <m:r>
              <m:rPr>
                <m:sty m:val="p"/>
              </m:rPr>
              <m:t>∣</m:t>
            </m:r>
            <m:r>
              <m:t>A</m:t>
            </m:r>
            <m:r>
              <m:rPr>
                <m:sty m:val="p"/>
              </m:rPr>
              <m:t>,</m:t>
            </m:r>
            <m:r>
              <m:t>V</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3"/>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3"/>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p>
      <w:pPr>
        <w:pStyle w:val="Compact"/>
      </w:pPr>
      <m:oMathPara>
        <m:oMathParaPr>
          <m:jc m:val="center"/>
        </m:oMathParaPr>
        <m:oMath>
          <m:r>
            <m:t>S</m:t>
          </m:r>
          <m:sSup>
            <m:e>
              <m:r>
                <m:t>W</m:t>
              </m:r>
            </m:e>
            <m:sup>
              <m:r>
                <m:t>A</m:t>
              </m:r>
            </m:sup>
          </m:sSup>
          <m:r>
            <m:rPr>
              <m:sty m:val="p"/>
            </m:rPr>
            <m:t>(</m:t>
          </m:r>
          <m:r>
            <m:t>V</m:t>
          </m:r>
          <m:r>
            <m:rPr>
              <m:sty m:val="p"/>
            </m:rPr>
            <m:t>)</m:t>
          </m:r>
          <m:r>
            <m:rPr>
              <m:sty m:val="p"/>
            </m:rPr>
            <m:t>=</m:t>
          </m:r>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Compact"/>
        <w:numPr>
          <w:ilvl w:val="0"/>
          <w:numId w:val="1000"/>
        </w:numPr>
      </w:pPr>
      <w:r>
        <w:t xml:space="preserve">estimated like</w:t>
      </w:r>
      <w:r>
        <w:t xml:space="preserve"> </w:t>
      </w:r>
      <m:oMath>
        <m:r>
          <m:t>S</m:t>
        </m:r>
        <m:sSup>
          <m:e>
            <m:r>
              <m:t>W</m:t>
            </m:r>
          </m:e>
          <m:sup>
            <m:r>
              <m:t>A</m:t>
            </m:r>
          </m:sup>
        </m:sSup>
      </m:oMath>
      <w:r>
        <w:t xml:space="preserve"> </w:t>
      </w:r>
      <w:r>
        <w:t xml:space="preserve">but with</w:t>
      </w:r>
      <w:r>
        <w:t xml:space="preserve"> </w:t>
      </w:r>
      <m:oMath>
        <m:r>
          <m:t>V</m:t>
        </m:r>
      </m:oMath>
      <w:r>
        <w:t xml:space="preserve"> </w:t>
      </w:r>
      <w:r>
        <w:t xml:space="preserve">added to the numerator’s logistic model.</w:t>
      </w:r>
    </w:p>
    <w:p>
      <w:pPr>
        <w:pStyle w:val="FirstParagraph"/>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48"/>
    <w:bookmarkStart w:id="5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nhefs-sex"/>
          <w:p>
            <w:pPr>
              <w:pStyle w:val="BodyText"/>
            </w:pPr>
            <w:r>
              <w:rPr>
                <w:b/>
                <w:bCs/>
              </w:rPr>
              <w:t xml:space="preserve">Example 4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49"/>
        </w:tc>
      </w:tr>
    </w:tbl>
    <w:p>
      <w:r>
        <w:pict>
          <v:rect style="width:0;height:1.5pt" o:hralign="center" o:hrstd="t" o:hr="t"/>
        </w:pict>
      </w:r>
    </w:p>
    <w:bookmarkEnd w:id="50"/>
    <w:bookmarkStart w:id="51" w:name="which-covariates-to-put-in-the-model"/>
    <w:p>
      <w:pPr>
        <w:pStyle w:val="Heading3"/>
      </w:pPr>
      <w:r>
        <w:t xml:space="preserve">5.3 Which Covariates to Put in the Model?</w:t>
      </w:r>
    </w:p>
    <w:p>
      <w:pPr>
        <w:pStyle w:val="Compact"/>
        <w:numPr>
          <w:ilvl w:val="0"/>
          <w:numId w:val="1024"/>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4"/>
        </w:numPr>
      </w:pPr>
      <w:r>
        <w:t xml:space="preserve">If all of</w:t>
      </w:r>
      <w:r>
        <w:t xml:space="preserve"> </w:t>
      </w:r>
      <m:oMath>
        <m:r>
          <m:t>L</m:t>
        </m:r>
      </m:oMath>
      <w:r>
        <w:t xml:space="preserve"> </w:t>
      </w:r>
      <w:r>
        <w:t xml:space="preserve">is included,</w:t>
      </w:r>
      <w:r>
        <w:t xml:space="preserve"> </w:t>
      </w:r>
      <m:oMath>
        <m:r>
          <m:t>S</m:t>
        </m:r>
        <m:sSup>
          <m:e>
            <m:r>
              <m:t>W</m:t>
            </m:r>
          </m:e>
          <m:sup>
            <m:r>
              <m:t>A</m:t>
            </m:r>
          </m:sup>
        </m:sSup>
        <m:r>
          <m:rPr>
            <m:sty m:val="p"/>
          </m:rPr>
          <m:t>(</m:t>
        </m:r>
        <m:r>
          <m:t>L</m:t>
        </m:r>
        <m:r>
          <m:rPr>
            <m:sty m:val="p"/>
          </m:rPr>
          <m:t>)</m:t>
        </m:r>
        <m:r>
          <m:rPr>
            <m:sty m:val="p"/>
          </m:rPr>
          <m:t>=</m:t>
        </m:r>
        <m:r>
          <m:t>1</m:t>
        </m:r>
      </m:oMath>
      <w:r>
        <w:t xml:space="preserve"> </w:t>
      </w:r>
      <w:r>
        <w:t xml:space="preserve">and IP weighting is unnecessary: the model becomes the unweighted outcome regression that fully adjusts for</w:t>
      </w:r>
      <w:r>
        <w:t xml:space="preserve"> </w:t>
      </w:r>
      <m:oMath>
        <m:r>
          <m:t>L</m:t>
        </m:r>
      </m:oMath>
      <w:r>
        <w:t xml:space="preserve"> </w:t>
      </w:r>
      <w:r>
        <w:t xml:space="preserve">(Chapter 15).</w:t>
      </w:r>
      <w:r>
        <w:t xml:space="preserve"> </w:t>
      </w:r>
      <w:r>
        <w:t xml:space="preserve">The book calls this, half-jokingly, a</w:t>
      </w:r>
      <w:r>
        <w:t xml:space="preserve"> </w:t>
      </w:r>
      <w:r>
        <w:rPr>
          <w:b/>
          <w:bCs/>
        </w:rPr>
        <w:t xml:space="preserve">faux marginal structural model</w:t>
      </w:r>
      <w:r>
        <w:t xml:space="preserve">.</w:t>
      </w:r>
    </w:p>
    <w:p>
      <w:pPr>
        <w:pStyle w:val="FirstParagraph"/>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bookmarkEnd w:id="51"/>
    <w:bookmarkEnd w:id="52"/>
    <w:bookmarkStart w:id="6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p>
      <w:pPr>
        <w:pStyle w:val="BodyText"/>
      </w:pPr>
      <w:r>
        <w:t xml:space="preserve">Let</w:t>
      </w:r>
      <w:r>
        <w:t xml:space="preserve"> </w:t>
      </w:r>
      <m:oMath>
        <m:r>
          <m:t>C</m:t>
        </m:r>
        <m:r>
          <m:rPr>
            <m:sty m:val="p"/>
          </m:rPr>
          <m:t>=</m:t>
        </m:r>
        <m:r>
          <m:t>1</m:t>
        </m:r>
      </m:oMath>
      <w:r>
        <w:t xml:space="preserve"> </w:t>
      </w:r>
      <w:r>
        <w:t xml:space="preserve">if the outcome is unmeasured (censored) and</w:t>
      </w:r>
      <w:r>
        <w:t xml:space="preserve"> </w:t>
      </w:r>
      <m:oMath>
        <m:r>
          <m:t>C</m:t>
        </m:r>
        <m:r>
          <m:rPr>
            <m:sty m:val="p"/>
          </m:rPr>
          <m:t>=</m:t>
        </m:r>
        <m:r>
          <m:t>0</m:t>
        </m:r>
      </m:oMath>
      <w:r>
        <w:t xml:space="preserve"> </w:t>
      </w:r>
      <w:r>
        <w:t xml:space="preserve">if measured.</w:t>
      </w:r>
      <w:r>
        <w:t xml:space="preserve"> </w:t>
      </w:r>
      <w:r>
        <w:t xml:space="preserve">The analyses of Sections 12.2-12.4 actually fit</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53" w:name="can-censoring-cause-selection-bias-here"/>
    <w:p>
      <w:pPr>
        <w:pStyle w:val="Heading3"/>
      </w:pPr>
      <w:r>
        <w:t xml:space="preserve">6.1 Can Censoring Cause Selection Bias Here?</w:t>
      </w:r>
    </w:p>
    <w:p>
      <w:pPr>
        <w:pStyle w:val="FirstParagraph"/>
      </w:pP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5"/>
        </w:numPr>
      </w:pPr>
      <w:r>
        <w:t xml:space="preserve">treatment predicts censoring: 5.8% of quitters versus 3.2% of non-quitters were censored;</w:t>
      </w:r>
    </w:p>
    <w:p>
      <w:pPr>
        <w:pStyle w:val="Compact"/>
        <w:numPr>
          <w:ilvl w:val="0"/>
          <w:numId w:val="1025"/>
        </w:numPr>
      </w:pPr>
      <w:r>
        <w:t xml:space="preserve">a predictor of</w:t>
      </w:r>
      <w:r>
        <w:t xml:space="preserve"> </w:t>
      </w:r>
      <m:oMath>
        <m:r>
          <m:t>Y</m:t>
        </m:r>
      </m:oMath>
      <w:r>
        <w:t xml:space="preserve"> </w:t>
      </w:r>
      <w:r>
        <w:t xml:space="preserve">predicts censoring: mean baseline weight was 76.6 kg in the censored versus 70.8 kg in the uncensored.</w:t>
      </w:r>
    </w:p>
    <w:p>
      <w:r>
        <w:pict>
          <v:rect style="width:0;height:1.5pt" o:hralign="center" o:hrstd="t" o:hr="t"/>
        </w:pict>
      </w:r>
    </w:p>
    <w:bookmarkEnd w:id="53"/>
    <w:bookmarkStart w:id="54" w:name="the-target-a-joint-effect"/>
    <w:p>
      <w:pPr>
        <w:pStyle w:val="Heading3"/>
      </w:pPr>
      <w:r>
        <w:t xml:space="preserve">6.2 The Target: A Joint Effect</w:t>
      </w:r>
    </w:p>
    <w:p>
      <w:pPr>
        <w:pStyle w:val="FirstParagraph"/>
      </w:pPr>
      <w:r>
        <w:t xml:space="preserve">We want the effect if nobody had been censored:</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r>
        <w:t xml:space="preserve"> </w:t>
      </w: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54"/>
    <w:bookmarkStart w:id="56"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5" w:name="def-censoring-weights"/>
          <w:p>
            <w:pPr>
              <w:pStyle w:val="BodyText"/>
            </w:pPr>
            <w:r>
              <w:rPr>
                <w:b/>
                <w:bCs/>
              </w:rPr>
              <w:t xml:space="preserve">Definition 7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nor/>
                    <m:sty m:val="p"/>
                  </m:rPr>
                  <m:t> for uncensored individuals</m:t>
                </m:r>
                <m:r>
                  <m:rPr>
                    <m:sty m:val="p"/>
                  </m:rPr>
                  <m:t>,</m:t>
                </m:r>
                <m:r>
                  <m:t>  </m:t>
                </m:r>
                <m:sSup>
                  <m:e>
                    <m:r>
                      <m:t>W</m:t>
                    </m:r>
                  </m:e>
                  <m:sup>
                    <m:r>
                      <m:t>C</m:t>
                    </m:r>
                  </m:sup>
                </m:sSup>
                <m:limUpp>
                  <m:e>
                    <m:r>
                      <m:rPr>
                        <m:sty m:val="p"/>
                      </m:rPr>
                      <m:t>=</m:t>
                    </m:r>
                  </m:e>
                  <m:lim>
                    <m:r>
                      <m:rPr>
                        <m:nor/>
                        <m:sty m:val="p"/>
                      </m:rPr>
                      <m:t>def</m:t>
                    </m:r>
                  </m:lim>
                </m:limUpp>
                <m:r>
                  <m:t>0</m:t>
                </m:r>
                <m:r>
                  <m:rPr>
                    <m:nor/>
                    <m:sty m:val="p"/>
                  </m:rPr>
                  <m:t> for censored individuals</m:t>
                </m:r>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55"/>
        </w:tc>
      </w:tr>
    </w:tbl>
    <w:p>
      <w:pPr>
        <w:pStyle w:val="BodyText"/>
      </w:pP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w:t>
      </w:r>
    </w:p>
    <w:p>
      <w:pPr>
        <w:pStyle w:val="Compact"/>
        <w:numPr>
          <w:ilvl w:val="0"/>
          <w:numId w:val="1026"/>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6"/>
        </w:numPr>
      </w:pPr>
      <w:r>
        <w:t xml:space="preserve">positivity for</w:t>
      </w:r>
      <w:r>
        <w:t xml:space="preserve"> </w:t>
      </w:r>
      <m:oMath>
        <m:r>
          <m:rPr>
            <m:sty m:val="p"/>
          </m:rPr>
          <m:t>(</m:t>
        </m:r>
        <m:r>
          <m:t>A</m:t>
        </m:r>
        <m:r>
          <m:rPr>
            <m:sty m:val="p"/>
          </m:rPr>
          <m:t>=</m:t>
        </m:r>
        <m:r>
          <m:t>a</m:t>
        </m:r>
        <m:r>
          <m:rPr>
            <m:sty m:val="p"/>
          </m:rPr>
          <m:t>,</m:t>
        </m:r>
        <m:r>
          <m:t>C</m:t>
        </m:r>
        <m:r>
          <m:rPr>
            <m:sty m:val="p"/>
          </m:rPr>
          <m:t>=</m:t>
        </m:r>
        <m:r>
          <m:t>0</m:t>
        </m:r>
        <m:r>
          <m:rPr>
            <m:sty m:val="p"/>
          </m:rPr>
          <m:t>)</m:t>
        </m:r>
      </m:oMath>
      <w:r>
        <w:t xml:space="preserve">;</w:t>
      </w:r>
    </w:p>
    <w:p>
      <w:pPr>
        <w:pStyle w:val="Compact"/>
        <w:numPr>
          <w:ilvl w:val="0"/>
          <w:numId w:val="1026"/>
        </w:numPr>
      </w:pPr>
      <w:r>
        <w:t xml:space="preserve">consistency.</w:t>
      </w:r>
    </w:p>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56"/>
    <w:bookmarkStart w:id="60" w:name="X81508dbc7775fc3418fcb3c6ff208d53f3a1f1e"/>
    <w:p>
      <w:pPr>
        <w:pStyle w:val="Heading3"/>
      </w:pPr>
      <w:r>
        <w:t xml:space="preserve">6.4 Nonstabilized versus Stabilized Censoring Weights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r>
          <m:rPr>
            <m:sty m:val="p"/>
          </m:rPr>
          <m:t>=</m:t>
        </m:r>
        <m:r>
          <m:t>S</m:t>
        </m:r>
        <m:sSup>
          <m:e>
            <m:r>
              <m:t>W</m:t>
            </m:r>
          </m:e>
          <m:sup>
            <m:r>
              <m:t>A</m:t>
            </m:r>
          </m:sup>
        </m:sSup>
        <m:r>
          <m:rPr>
            <m:sty m:val="p"/>
          </m:rPr>
          <m:t>×</m:t>
        </m:r>
        <m:r>
          <m:t>S</m:t>
        </m:r>
        <m:sSup>
          <m:e>
            <m:r>
              <m:t>W</m:t>
            </m:r>
          </m:e>
          <m:sup>
            <m:r>
              <m:t>C</m:t>
            </m:r>
          </m:sup>
        </m:sSup>
      </m:oMath>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7" w:name="exm-nhefs-censoring"/>
          <w:p>
            <w:pPr>
              <w:pStyle w:val="BodyText"/>
            </w:pPr>
            <w:r>
              <w:rPr>
                <w:b/>
                <w:bCs/>
              </w:rPr>
              <w:t xml:space="preserve">Example 5 (NHEFS: Adjusting for Censoring)</w:t>
            </w:r>
            <w:r>
              <w:t xml:space="preserve"> </w:t>
            </w:r>
            <w:r>
              <w:t xml:space="preserve"> </w:t>
            </w:r>
          </w:p>
          <w:p>
            <w:pPr>
              <w:pStyle w:val="Compact"/>
              <w:numPr>
                <w:ilvl w:val="0"/>
                <w:numId w:val="1027"/>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7"/>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7"/>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5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opt/quarto/share/formats/docx/note.png" id="5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nor/>
                  <m:sty m:val="p"/>
                </m:rPr>
                <m:t>E</m:t>
              </m:r>
              <m:d>
                <m:dPr>
                  <m:begChr m:val="["/>
                  <m:sepChr m:val=""/>
                  <m:endChr m:val="]"/>
                  <m:grow/>
                </m:dPr>
                <m:e>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t>
            </w:r>
            <w:r>
              <w:t xml:space="preserve">no longer equals</w:t>
            </w:r>
            <w:r>
              <w:t xml:space="preserve"> </w:t>
            </w:r>
            <m:oMath>
              <m:r>
                <m:rPr>
                  <m:nor/>
                  <m:sty m:val="p"/>
                </m:rPr>
                <m:t>E</m:t>
              </m:r>
              <m:d>
                <m:dPr>
                  <m:begChr m:val="["/>
                  <m:sepChr m:val=""/>
                  <m:endChr m:val="]"/>
                  <m:grow/>
                </m:dPr>
                <m:e>
                  <m:sSup>
                    <m:e>
                      <m:r>
                        <m:t>Y</m:t>
                      </m:r>
                    </m:e>
                    <m:sup>
                      <m:r>
                        <m:t>a</m:t>
                      </m:r>
                    </m:sup>
                  </m:sSup>
                </m:e>
              </m:d>
            </m:oMath>
            <w:r>
              <w:t xml:space="preserve">, but the</w:t>
            </w:r>
            <w:r>
              <w:t xml:space="preserve"> </w:t>
            </w:r>
            <w:r>
              <w:rPr>
                <w:b/>
                <w:bCs/>
              </w:rPr>
              <w:t xml:space="preserve">Hajek</w:t>
            </w:r>
            <w:r>
              <w:t xml:space="preserve"> </w:t>
            </w:r>
            <w:r>
              <w:t xml:space="preserve">version does.</w:t>
            </w:r>
            <w:r>
              <w:t xml:space="preserve"> </w:t>
            </w:r>
            <w:r>
              <w:t xml:space="preserve">Under exchangeability and positivity:</w:t>
            </w:r>
          </w:p>
          <w:p>
            <w:pPr>
              <w:pStyle w:val="BodyText"/>
            </w:pPr>
            <m:oMathPara>
              <m:oMathParaPr>
                <m:jc m:val="center"/>
              </m:oMathParaPr>
              <m:oMath>
                <m:eqArr>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t>&amp;</m:t>
                    </m:r>
                    <m:r>
                      <m:rPr>
                        <m:nor/>
                        <m:sty m:val="p"/>
                      </m:rPr>
                      <m:t>(</m:t>
                    </m:r>
                    <m:r>
                      <m:rPr>
                        <m:scr m:val="double-struck"/>
                        <m:sty m:val="p"/>
                      </m:rPr>
                      <m:t>1</m:t>
                    </m:r>
                    <m:d>
                      <m:dPr>
                        <m:begChr m:val="("/>
                        <m:sepChr m:val=""/>
                        <m:endChr m:val=")"/>
                        <m:grow/>
                      </m:dPr>
                      <m:e>
                        <m:r>
                          <m:t>A</m:t>
                        </m:r>
                        <m:r>
                          <m:rPr>
                            <m:sty m:val="p"/>
                          </m:rPr>
                          <m:t>=</m:t>
                        </m:r>
                        <m:r>
                          <m:t>a</m:t>
                        </m:r>
                      </m:e>
                    </m:d>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nor/>
                        <m:sty m:val="p"/>
                      </m:rPr>
                      <m:t>E</m:t>
                    </m:r>
                    <m:d>
                      <m:dPr>
                        <m:begChr m:val="["/>
                        <m:sepChr m:val=""/>
                        <m:endChr m:val="]"/>
                        <m:grow/>
                      </m:dPr>
                      <m:e>
                        <m:sSup>
                          <m:e>
                            <m:r>
                              <m:t>Y</m:t>
                            </m:r>
                          </m:e>
                          <m:sup>
                            <m:r>
                              <m:t>a</m:t>
                            </m:r>
                          </m:sup>
                        </m:sSup>
                      </m:e>
                    </m:d>
                    <m:r>
                      <m:t>&amp;</m:t>
                    </m:r>
                    <m:r>
                      <m:t>&amp;</m:t>
                    </m:r>
                    <m:r>
                      <m:rPr>
                        <m:nor/>
                        <m:sty m:val="p"/>
                      </m:rPr>
                      <m:t>(Technical Point 3.1)</m:t>
                    </m:r>
                  </m:e>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nor/>
                  <m:sty m:val="p"/>
                </m:rPr>
                <m:t>E</m:t>
              </m:r>
              <m:d>
                <m:dPr>
                  <m:begChr m:val="["/>
                  <m:sepChr m:val=""/>
                  <m:endChr m:val="]"/>
                  <m:grow/>
                </m:dPr>
                <m:e>
                  <m:sSup>
                    <m:e>
                      <m:r>
                        <m:t>Y</m:t>
                      </m:r>
                    </m:e>
                    <m:sup>
                      <m:r>
                        <m:t>a</m:t>
                      </m:r>
                    </m:sup>
                  </m:sSup>
                </m:e>
              </m:d>
              <m:r>
                <m:rPr>
                  <m:sty m:val="p"/>
                </m:rPr>
                <m:t>/</m:t>
              </m:r>
              <m:r>
                <m:t>g</m:t>
              </m:r>
              <m:r>
                <m:rPr>
                  <m:sty m:val="p"/>
                </m:rPr>
                <m:t>(</m:t>
              </m:r>
              <m:r>
                <m:t>a</m:t>
              </m:r>
              <m:r>
                <m:rPr>
                  <m:sty m:val="p"/>
                </m:rPr>
                <m:t>)</m:t>
              </m:r>
              <m:r>
                <m:rPr>
                  <m:sty m:val="p"/>
                </m:rPr>
                <m:t>=</m:t>
              </m:r>
              <m:r>
                <m:rPr>
                  <m:nor/>
                  <m:sty m:val="p"/>
                </m:rPr>
                <m:t>E</m:t>
              </m:r>
              <m:d>
                <m:dPr>
                  <m:begChr m:val="["/>
                  <m:sepChr m:val=""/>
                  <m:endChr m:val="]"/>
                  <m:grow/>
                </m:dPr>
                <m:e>
                  <m:sSup>
                    <m:e>
                      <m:r>
                        <m:t>Y</m:t>
                      </m:r>
                    </m:e>
                    <m:sup>
                      <m:r>
                        <m:t>a</m:t>
                      </m:r>
                    </m:sup>
                  </m:sSup>
                </m:e>
              </m:d>
            </m:oMath>
            <w:r>
              <w:t xml:space="preserve"> </w:t>
            </w:r>
            <w:r>
              <w:t xml:space="preserve">(assuming</w:t>
            </w:r>
            <w:r>
              <w:t xml:space="preserve"> </w:t>
            </w:r>
            <m:oMath>
              <m:r>
                <m:t>g</m:t>
              </m:r>
              <m:r>
                <m:rPr>
                  <m:sty m:val="p"/>
                </m:rPr>
                <m:t>(</m:t>
              </m:r>
              <m:r>
                <m:t>a</m:t>
              </m:r>
              <m:r>
                <m:rPr>
                  <m:sty m:val="p"/>
                </m:rPr>
                <m:t>)</m:t>
              </m:r>
              <m:r>
                <m:rPr>
                  <m:sty m:val="p"/>
                </m:rPr>
                <m:t>≠</m:t>
              </m:r>
              <m:r>
                <m:t>0</m:t>
              </m:r>
            </m:oMath>
            <w:r>
              <w:t xml:space="preserve">).</w:t>
            </w:r>
          </w:p>
          <w:p>
            <w:pPr>
              <w:pStyle w:val="BodyText"/>
            </w:pPr>
            <w:r>
              <w:t xml:space="preserve">The Hajek mean is the solution</w:t>
            </w:r>
            <w:r>
              <w:t xml:space="preserve"> </w:t>
            </w:r>
            <m:oMath>
              <m:r>
                <m:t>u</m:t>
              </m:r>
            </m:oMath>
            <w:r>
              <w:t xml:space="preserve"> </w:t>
            </w:r>
            <w:r>
              <w:t xml:space="preserve">of</w:t>
            </w:r>
            <w:r>
              <w:t xml:space="preserve"> </w:t>
            </w:r>
            <m:oMath>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d>
                <m:dPr>
                  <m:begChr m:val="("/>
                  <m:sepChr m:val=""/>
                  <m:endChr m:val=")"/>
                  <m:grow/>
                </m:dPr>
                <m:e>
                  <m:r>
                    <m:t>A</m:t>
                  </m:r>
                  <m:r>
                    <m:rPr>
                      <m:sty m:val="p"/>
                    </m:rPr>
                    <m:t>=</m:t>
                  </m:r>
                  <m:r>
                    <m:t>a</m:t>
                  </m:r>
                </m:e>
              </m:d>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nor/>
                  <m:sty m:val="p"/>
                </m:rPr>
                <m:t>E</m:t>
              </m:r>
              <m:d>
                <m:dPr>
                  <m:begChr m:val="["/>
                  <m:sepChr m:val=""/>
                  <m:endChr m:val="]"/>
                  <m:grow/>
                </m:dPr>
                <m:e>
                  <m:sSup>
                    <m:e>
                      <m:r>
                        <m:t>Y</m:t>
                      </m:r>
                    </m:e>
                    <m:sup>
                      <m:r>
                        <m:t>a</m:t>
                      </m:r>
                    </m:sup>
                  </m:sSup>
                </m:e>
              </m:d>
            </m:oMath>
            <w:r>
              <w:t xml:space="preserve">.)</w:t>
            </w:r>
            <w:r>
              <w:t xml:space="preserve"> </w:t>
            </w:r>
            <w:r>
              <w:t xml:space="preserve">Similarly, for</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acc>
                  <m:accPr>
                    <m:chr m:val="̂"/>
                  </m:accPr>
                  <m:e>
                    <m:r>
                      <m:rPr>
                        <m:nor/>
                        <m:sty m:val="p"/>
                      </m:rPr>
                      <m:t>E</m:t>
                    </m:r>
                  </m:e>
                </m:acc>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d>
                      <m:dPr>
                        <m:begChr m:val="("/>
                        <m:sepChr m:val=""/>
                        <m:endChr m:val=")"/>
                        <m:grow/>
                      </m:dPr>
                      <m:e>
                        <m:m>
                          <m:mPr>
                            <m:baseJc m:val="center"/>
                            <m:plcHide m:val="on"/>
                            <m:mcs>
                              <m:mc>
                                <m:mcPr>
                                  <m:mcJc m:val="center"/>
                                  <m:count m:val="1"/>
                                </m:mcPr>
                              </m:mc>
                            </m:mcs>
                          </m:mPr>
                          <m:mr>
                            <m:e>
                              <m:r>
                                <m:t>1</m:t>
                              </m:r>
                            </m:e>
                          </m:mr>
                          <m:mr>
                            <m:e>
                              <m:r>
                                <m:t>A</m:t>
                              </m:r>
                            </m:e>
                          </m:mr>
                        </m:m>
                      </m:e>
                    </m:d>
                  </m:e>
                </m:d>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1</m:t>
                      </m:r>
                    </m:sup>
                  </m:sSup>
                </m:e>
              </m:d>
            </m:oMath>
            <w:r>
              <w:t xml:space="preserve">.</w:t>
            </w:r>
            <w:r>
              <w:t xml:space="preserve"> </w:t>
            </w:r>
            <w:r>
              <w:t xml:space="preserve">In the pseudo-population created by</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nor/>
                  <m:sty m:val="p"/>
                </m:rPr>
                <m:t>E</m:t>
              </m:r>
              <m:d>
                <m:dPr>
                  <m:begChr m:val="["/>
                  <m:sepChr m:val=""/>
                  <m:endChr m:val="]"/>
                  <m:grow/>
                </m:dPr>
                <m:e>
                  <m:sSup>
                    <m:e>
                      <m:r>
                        <m:t>Y</m:t>
                      </m:r>
                    </m:e>
                    <m:sup>
                      <m:r>
                        <m:t>a</m:t>
                      </m:r>
                    </m:sup>
                  </m:sSup>
                </m:e>
              </m:d>
            </m:oMath>
            <w:r>
              <w:t xml:space="preserve">.</w:t>
            </w:r>
          </w:p>
          <w:p/>
        </w:tc>
      </w:tr>
    </w:tbl>
    <w:bookmarkEnd w:id="60"/>
    <w:bookmarkEnd w:id="61"/>
    <w:bookmarkStart w:id="65"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8"/>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8"/>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8"/>
        </w:numPr>
      </w:pPr>
      <w:r>
        <w:rPr>
          <w:b/>
          <w:bCs/>
        </w:rPr>
        <w:t xml:space="preserve">Marginal structural models</w:t>
      </w:r>
      <w:r>
        <w:t xml:space="preserve">: models for the mean counterfactual outcome, fit by IP weighted regression</w:t>
      </w:r>
    </w:p>
    <w:p>
      <w:pPr>
        <w:pStyle w:val="Compact"/>
        <w:numPr>
          <w:ilvl w:val="0"/>
          <w:numId w:val="1028"/>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8"/>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p>
      <w:pPr>
        <w:pStyle w:val="BodyText"/>
      </w:pPr>
      <w:r>
        <w:rPr>
          <w:b/>
          <w:bCs/>
        </w:rPr>
        <w:t xml:space="preserve">Cautions</w:t>
      </w:r>
      <w:r>
        <w:t xml:space="preserve">:</w:t>
      </w:r>
    </w:p>
    <w:p>
      <w:pPr>
        <w:pStyle w:val="Compact"/>
        <w:numPr>
          <w:ilvl w:val="0"/>
          <w:numId w:val="1029"/>
        </w:numPr>
      </w:pPr>
      <w:r>
        <w:t xml:space="preserve">Requires a correctly specified model for treatment (and censoring)</w:t>
      </w:r>
    </w:p>
    <w:p>
      <w:pPr>
        <w:pStyle w:val="Compact"/>
        <w:numPr>
          <w:ilvl w:val="0"/>
          <w:numId w:val="1029"/>
        </w:numPr>
      </w:pPr>
      <w:r>
        <w:t xml:space="preserve">Positivity violations; parametric models assume random nonpositivity</w:t>
      </w:r>
    </w:p>
    <w:p>
      <w:pPr>
        <w:pStyle w:val="Compact"/>
        <w:numPr>
          <w:ilvl w:val="0"/>
          <w:numId w:val="1029"/>
        </w:numPr>
      </w:pPr>
      <w:r>
        <w:t xml:space="preserve">Weights for continuous treatments can be very sensitive to the density model</w:t>
      </w:r>
    </w:p>
    <w:p>
      <w:pPr>
        <w:pStyle w:val="Compact"/>
        <w:numPr>
          <w:ilvl w:val="0"/>
          <w:numId w:val="1029"/>
        </w:numPr>
      </w:pPr>
      <w:r>
        <w:t xml:space="preserve">Robust-variance confidence intervals are conservative</w:t>
      </w:r>
    </w:p>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64" w:name="refs"/>
    <w:bookmarkStart w:id="63"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2">
        <w:r>
          <w:rPr>
            <w:rStyle w:val="Hyperlink"/>
          </w:rPr>
          <w:t xml:space="preserve">https://miguelhernan.org/whatifbook</w:t>
        </w:r>
      </w:hyperlink>
      <w:r>
        <w:t xml:space="preserve">.</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hyperlink" Id="rId62" Target="https://miguelhernan.org/whatifbook" TargetMode="External" /><Relationship Type="http://schemas.openxmlformats.org/officeDocument/2006/relationships/hyperlink" Id="rId9" Target="https://remlapmot.github.io/cibookex-r/" TargetMode="External" /></Relationships>
</file>

<file path=word/_rels/footnotes.xml.rels><?xml version="1.0" encoding="UTF-8"?><Relationships xmlns="http://schemas.openxmlformats.org/package/2006/relationships"><Relationship Type="http://schemas.openxmlformats.org/officeDocument/2006/relationships/hyperlink" Id="rId62" Target="https://miguelhernan.org/whatifbook" TargetMode="External" /><Relationship Type="http://schemas.openxmlformats.org/officeDocument/2006/relationships/hyperlink" Id="rId9" Target="https://remlapmot.github.io/cibookex-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2026-10-02T19:37:44Z</dcterms:created>
  <dcterms:modified xsi:type="dcterms:W3CDTF">2026-10-02T19:37:44Z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