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15: Outcome Regression and Propensity Scores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covers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methods (stratification, standardization, and matching on the propensity score): the most commonly used parametric methods for causal inference.</w:t>
      </w:r>
      <w:r>
        <w:t xml:space="preserve"> </w:t>
      </w:r>
      <w:r>
        <w:t xml:space="preserve">They work well for treatments fixed at a single time,</w:t>
      </w:r>
      <w:r>
        <w:t xml:space="preserve"> </w:t>
      </w:r>
      <w:r>
        <w:t xml:space="preserve">but they are not designed for the complexities of time-varying treatments,</w:t>
      </w:r>
      <w:r>
        <w:t xml:space="preserve"> </w:t>
      </w:r>
      <w:r>
        <w:t xml:space="preserve">which is why the book presents them only after the g-methods.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15, pp. 199-208)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outcome regression and propensity score methods need the same identifying conditions as every other method (exchangeability, positivity, and consistency / well-defined interventions), plus correct models for their nuisance parameters.</w:t>
      </w:r>
      <w:r>
        <w:t xml:space="preserve"> </w:t>
      </w:r>
      <w:r>
        <w:t xml:space="preserve">Unlike the g-methods of Chapters 12-14, they have limited applicability to complex longitudinal data</w:t>
      </w:r>
      <w:r>
        <w:t xml:space="preserve"> </w:t>
      </w:r>
      <w:r>
        <w:t xml:space="preserve">(Hernán and Robins 2020, 199)</w:t>
      </w:r>
      <w:r>
        <w:t xml:space="preserve">.</w:t>
      </w:r>
    </w:p>
    <w:bookmarkStart w:id="17" w:name="outcome-regression-pp.-199-201"/>
    <w:p>
      <w:pPr>
        <w:pStyle w:val="Heading2"/>
      </w:pPr>
      <w:r>
        <w:t xml:space="preserve">1 15.1 Outcome Regression (pp. 199-201)</w:t>
      </w:r>
    </w:p>
    <w:p>
      <w:r>
        <w:pict>
          <v:rect style="width:0;height:1.5pt" o:hralign="center" o:hrstd="t" o:hr="t"/>
        </w:pict>
      </w:r>
    </w:p>
    <w:bookmarkStart w:id="9" w:name="a-structural-model-with-parameters-for-l"/>
    <w:p>
      <w:pPr>
        <w:pStyle w:val="Heading3"/>
      </w:pPr>
      <w:r>
        <w:t xml:space="preserve">1.1 A Structural Model with Parameters for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Structural nested models (Chapter 14) contain parameters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only,</w:t>
      </w:r>
      <w:r>
        <w:t xml:space="preserve"> </w:t>
      </w:r>
      <w:r>
        <w:t xml:space="preserve">so g-estimation is agnostic about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If instead we are willing to specify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within levels of</w:t>
      </w:r>
      <w:r>
        <w:t xml:space="preserve"> </w:t>
      </w:r>
      <m:oMath>
        <m:r>
          <m:t>A</m:t>
        </m:r>
      </m:oMath>
      <w:r>
        <w:t xml:space="preserve">, we can use the structural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vector parameters.</w:t>
      </w:r>
    </w:p>
    <w:p>
      <w:pPr>
        <w:pStyle w:val="BodyText"/>
      </w:pPr>
      <w:r>
        <w:t xml:space="preserve">In Chapter 12 this model was called a</w:t>
      </w:r>
      <w:r>
        <w:t xml:space="preserve"> </w:t>
      </w:r>
      <w:r>
        <w:rPr>
          <w:b/>
          <w:bCs/>
        </w:rPr>
        <w:t xml:space="preserve">faux marginal structural model</w:t>
      </w:r>
      <w:r>
        <w:t xml:space="preserve">: it has the form of a marginal structural model,</w:t>
      </w:r>
      <w:r>
        <w:t xml:space="preserve"> </w:t>
      </w:r>
      <w:r>
        <w:t xml:space="preserve">but because it conditions on the entire vector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(not a subset</w:t>
      </w:r>
      <w:r>
        <w:t xml:space="preserve"> </w:t>
      </w:r>
      <m:oMath>
        <m:r>
          <m:t>V</m:t>
        </m:r>
      </m:oMath>
      <w:r>
        <w:t xml:space="preserve">),</w:t>
      </w:r>
      <w:r>
        <w:t xml:space="preserve"> </w:t>
      </w:r>
      <w:r>
        <w:t xml:space="preserve">the stabilized IP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all equal 1 and no weighting is needed</w:t>
      </w:r>
      <w:r>
        <w:t xml:space="preserve"> </w:t>
      </w:r>
      <w:r>
        <w:t xml:space="preserve">(Hernán and Robins 2020, 199)</w:t>
      </w:r>
      <w:r>
        <w:t xml:space="preserve">.</w:t>
      </w:r>
    </w:p>
    <w:p>
      <w:pPr>
        <w:pStyle w:val="BodyText"/>
      </w:pP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often called the</w:t>
      </w:r>
      <w:r>
        <w:t xml:space="preserve"> </w:t>
      </w:r>
      <w:r>
        <w:t xml:space="preserve">“main effect”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but it need not have a causal interpretation (the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may itself be confounded);</w:t>
      </w:r>
      <w:r>
        <w:t xml:space="preserve"> </w:t>
      </w:r>
      <w:r>
        <w:t xml:space="preserve">it only describes how the mean of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varies with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1" w:name="X911e20a25d3cfcdd817af0b820ed7f483eb5800"/>
    <w:p>
      <w:pPr>
        <w:pStyle w:val="Heading3"/>
      </w:pPr>
      <w:r>
        <w:t xml:space="preserve">1.2 Conditional Effects from the Structural Model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prp-conditional-effect"/>
          <w:p>
            <w:pPr>
              <w:pStyle w:val="BodyText"/>
            </w:pPr>
            <w:r>
              <w:rPr>
                <w:b/>
                <w:bCs/>
              </w:rPr>
              <w:t xml:space="preserve">Proposition 1 (Stratum-Specific Effect)</w:t>
            </w:r>
            <w:r>
              <w:t xml:space="preserve"> </w:t>
            </w:r>
            <w:r>
              <w:t xml:space="preserve">Under the structural model, the average causal effect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Evaluate the model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subtract: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So the stratum-specific effects depend only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counterfactual means under no treatment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6" w:name="Xd85d0e9745904ed6dc561fabc44b0af07d7fc3e"/>
    <w:p>
      <w:pPr>
        <w:pStyle w:val="Heading3"/>
      </w:pPr>
      <w:r>
        <w:t xml:space="preserve">1.3 Estimating the Structural Model by Outcome Regression</w:t>
      </w:r>
    </w:p>
    <w:p>
      <w:pPr>
        <w:pStyle w:val="FirstParagraph"/>
      </w:pPr>
      <w:r>
        <w:t xml:space="preserve">Under exchangeability, positivity, and well-defined interventions,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structural parameters can be estimated by ordinary least squares, fitting the outcome regression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 to adjust for confounding and selection bias and the outcome model is correctly specified, then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β</m:t>
        </m:r>
      </m:oMath>
      <w:r>
        <w:t xml:space="preserve">.</w:t>
      </w:r>
    </w:p>
    <w:p>
      <w:pPr>
        <w:pStyle w:val="BodyText"/>
      </w:pPr>
      <w:r>
        <w:t xml:space="preserve">Like stratification (Chapter 3), outcome regression adjusts for confounding by estimating the effect</w:t>
      </w:r>
      <w:r>
        <w:t xml:space="preserve"> </w:t>
      </w:r>
      <w:r>
        <w:rPr>
          <w:b/>
          <w:bCs/>
        </w:rPr>
        <w:t xml:space="preserve">within strata of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In Section 13.2, the outcome regression was an intermediate step toward a standardized (marginal) mean;</w:t>
      </w:r>
      <w:r>
        <w:t xml:space="preserve"> </w:t>
      </w:r>
      <w:r>
        <w:t xml:space="preserve">here the regression is the end of the procedure:</w:t>
      </w:r>
      <w:r>
        <w:t xml:space="preserve"> </w:t>
      </w:r>
      <w:r>
        <w:t xml:space="preserve">we compare conditional means instead of standardizing them</w:t>
      </w:r>
      <w:r>
        <w:t xml:space="preserve"> </w:t>
      </w:r>
      <w:r>
        <w:t xml:space="preserve">(Hernán and Robins 2020, 200)</w:t>
      </w:r>
      <w:r>
        <w:t xml:space="preserve">.</w:t>
      </w:r>
    </w:p>
    <w:p>
      <w:pPr>
        <w:pStyle w:val="BodyText"/>
      </w:pPr>
      <w:r>
        <w:t xml:space="preserve">The same approach works for discrete outcomes, e.g.,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dichotomous.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exm-nhefs-outcome-regression"/>
          <w:p>
            <w:pPr>
              <w:pStyle w:val="BodyText"/>
            </w:pPr>
            <w:r>
              <w:rPr>
                <w:b/>
                <w:bCs/>
              </w:rPr>
              <w:t xml:space="preserve">Example 1 (Smoking Cessation and Weight Gain (NHEFS))</w:t>
            </w:r>
            <w:r>
              <w:t xml:space="preserve"> </w:t>
            </w:r>
            <w:r>
              <w:t xml:space="preserve">Using the outcome model of Section 13.2, which has a single product term (between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 intensity),</w:t>
            </w:r>
            <w:r>
              <w:t xml:space="preserve"> </w:t>
            </w:r>
            <w:r>
              <w:t xml:space="preserve">the book reports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Estimated effect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:</w:t>
            </w:r>
            <w:r>
              <w:t xml:space="preserve"> </w:t>
            </w:r>
            <w:r>
              <w:t xml:space="preserve">2.8 kg (95% CI: 1.5, 4.1) for those smoking 5 cigarettes/day;</w:t>
            </w:r>
            <w:r>
              <w:t xml:space="preserve"> </w:t>
            </w:r>
            <w:r>
              <w:t xml:space="preserve">4.4 kg (95% CI: 2.8, 6.1) for those smoking 40 cigarettes/day.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Model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product terms (assumes no effect modification by any variable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3.5</m:t>
              </m:r>
            </m:oMath>
            <w:r>
              <w:t xml:space="preserve"> </w:t>
            </w:r>
            <w:r>
              <w:t xml:space="preserve">kg (95% CI: 2.6, 4.3), which then estimates both the conditional and the marginal effect.</w:t>
            </w:r>
          </w:p>
          <w:bookmarkEnd w:id="12"/>
        </w:tc>
      </w:tr>
    </w:tbl>
    <w:p>
      <w:pPr>
        <w:pStyle w:val="FirstParagraph"/>
      </w:pPr>
      <w:r>
        <w:t xml:space="preserve">By</w:t>
      </w:r>
      <w:r>
        <w:t xml:space="preserve"> </w:t>
      </w:r>
      <w:hyperlink w:anchor="prp-conditional-effect">
        <w:r>
          <w:rPr>
            <w:rStyle w:val="Hyperlink"/>
          </w:rPr>
          <w:t xml:space="preserve">Proposition 1</w:t>
        </w:r>
      </w:hyperlink>
      <w:r>
        <w:t xml:space="preserve">, each stratum-specific estimate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nor/>
            <m:sty m:val="p"/>
          </m:rPr>
          <m:t>cigarettes/day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book reports the coefficients rounded to one or two decimals,</w:t>
      </w:r>
      <w:r>
        <w:t xml:space="preserve"> </w:t>
      </w:r>
      <w:r>
        <w:t xml:space="preserve">so plugging the rounded values into that formula reproduces the reported effect estimates only approximately</w:t>
      </w:r>
      <w:r>
        <w:t xml:space="preserve"> </w:t>
      </w:r>
      <w:r>
        <w:t xml:space="preserve">(e.g.,</w:t>
      </w:r>
      <w:r>
        <w:t xml:space="preserve"> </w:t>
      </w:r>
      <m:oMath>
        <m:r>
          <m:t>2.6</m:t>
        </m:r>
        <m:r>
          <m:rPr>
            <m:sty m:val="p"/>
          </m:rPr>
          <m:t>+</m:t>
        </m:r>
        <m:r>
          <m:t>0.05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4.6</m:t>
        </m:r>
      </m:oMath>
      <w:r>
        <w:t xml:space="preserve"> </w:t>
      </w:r>
      <w:r>
        <w:t xml:space="preserve">versus the reported 4.4).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15.1: Nuisance Parameters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consistent (in general) only 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correctly models how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nuisance parameters are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of the structural nested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:</w:t>
            </w:r>
            <w:r>
              <w:t xml:space="preserve"> </w:t>
            </w:r>
            <w:r>
              <w:t xml:space="preserve">consistent (in general) only if the treatment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The nuisance parameters are those of the treatment model, e.g.,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Example: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should enter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but is modeled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only, outcome regression is biased;</w:t>
            </w:r>
            <w:r>
              <w:t xml:space="preserve"> </w:t>
            </w:r>
            <w:r>
              <w:t xml:space="preserve">g-estimation is unaffected by that error but is biased if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relation is misspecified.</w:t>
            </w:r>
            <w:r>
              <w:t xml:space="preserve"> </w:t>
            </w:r>
            <w:r>
              <w:t xml:space="preserve">For a time-fixed treatment, choosing between the two amounts to deciding which nuisance model we can specify more accurately.</w:t>
            </w:r>
            <w:r>
              <w:t xml:space="preserve"> </w:t>
            </w:r>
            <w:r>
              <w:t xml:space="preserve">When possible, a better option is a doubly robust method (Fine Point 13.2)</w:t>
            </w:r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/>
        </w:tc>
      </w:tr>
    </w:tbl>
    <w:bookmarkEnd w:id="16"/>
    <w:bookmarkEnd w:id="17"/>
    <w:bookmarkStart w:id="25" w:name="propensity-scores-pp.-201-202"/>
    <w:p>
      <w:pPr>
        <w:pStyle w:val="Heading2"/>
      </w:pPr>
      <w:r>
        <w:t xml:space="preserve">2 15.2 Propensity Scores (pp. 201-202)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def-propensity-score"/>
          <w:p>
            <w:pPr>
              <w:pStyle w:val="BodyText"/>
            </w:pPr>
            <w:r>
              <w:rPr>
                <w:b/>
                <w:bCs/>
              </w:rPr>
              <w:t xml:space="preserve">Definition 1 (Propensity Score)</w:t>
            </w:r>
            <w:r>
              <w:t xml:space="preserve"> </w:t>
            </w:r>
            <w:r>
              <w:t xml:space="preserve">For a dichotomous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is the conditional probability of treatment given the covariates: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In an ideal randomized trial assigning half the individuals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everyone, whatever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is.</w:t>
      </w:r>
    </w:p>
    <w:p>
      <w:pPr>
        <w:pStyle w:val="Compact"/>
        <w:numPr>
          <w:ilvl w:val="0"/>
          <w:numId w:val="1003"/>
        </w:numPr>
      </w:pPr>
      <w:r>
        <w:t xml:space="preserve">In an observational study,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unknown and must be estimated, e.g., with the same logistic model used for IP weighting and g-estimation in Chapters 12 and 14.</w:t>
      </w:r>
    </w:p>
    <w:p>
      <w:pPr>
        <w:pStyle w:val="FirstParagraph"/>
      </w:pPr>
      <w:r>
        <w:t xml:space="preserve">The book restricts attention to dichotomous treatments:</w:t>
      </w:r>
      <w:r>
        <w:t xml:space="preserve"> </w:t>
      </w:r>
      <w:r>
        <w:t xml:space="preserve">propensity score methods other than IP weighting, g-estimation, and related doubly robust estimators are difficult to generalize to non-dichotomous treatments</w:t>
      </w:r>
      <w:r>
        <w:t xml:space="preserve"> </w:t>
      </w:r>
      <w:r>
        <w:t xml:space="preserve">(Hernán and Robins 2020, 201)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exm-nhefs-propensity"/>
          <w:p>
            <w:pPr>
              <w:pStyle w:val="BodyText"/>
            </w:pPr>
            <w:r>
              <w:rPr>
                <w:b/>
                <w:bCs/>
              </w:rPr>
              <w:t xml:space="preserve">Example 2 (Estimated Propensity Scores in NHEFS)</w:t>
            </w:r>
            <w:r>
              <w:t xml:space="preserve"> </w:t>
            </w:r>
            <w:r>
              <w:t xml:space="preserve">From the logistic model for quitting smoking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(Hernán and Robins 2020, 201)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lowest estimated propensity score: 0.053 (individual 22941);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highest: 0.793 (individual 24949);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mean estimated propensity score: 0.312 among 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0.245 among nonquitters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Figure 15.1 of the book shows the two distributions;</w:t>
            </w:r>
            <w:r>
              <w:t xml:space="preserve"> </w:t>
            </w:r>
            <w:r>
              <w:t xml:space="preserve">they overlap over most of the range.</w:t>
            </w:r>
          </w:p>
          <w:bookmarkEnd w:id="19"/>
        </w:tc>
      </w:tr>
    </w:tbl>
    <w:p>
      <w:pPr>
        <w:pStyle w:val="BodyText"/>
      </w:pPr>
      <w:r>
        <w:t xml:space="preserve">If the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were the same in the treated and the untreated, there would be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 open path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).</w:t>
      </w:r>
      <w:r>
        <w:t xml:space="preserve"> </w:t>
      </w:r>
      <w:r>
        <w:t xml:space="preserve">Quitters having a higher average estimated probability of quitting is exactly what we expect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predicts quitting.</w:t>
      </w:r>
    </w:p>
    <w:p>
      <w:r>
        <w:pict>
          <v:rect style="width:0;height:1.5pt" o:hralign="center" o:hrstd="t" o:hr="t"/>
        </w:pict>
      </w:r>
    </w:p>
    <w:bookmarkStart w:id="22" w:name="the-balancing-property"/>
    <w:p>
      <w:pPr>
        <w:pStyle w:val="Heading3"/>
      </w:pPr>
      <w:r>
        <w:t xml:space="preserve">2.1 The Balancing Property</w:t>
      </w:r>
    </w:p>
    <w:p>
      <w:pPr>
        <w:pStyle w:val="FirstParagraph"/>
      </w:pPr>
      <w:r>
        <w:t xml:space="preserve">Individuals with the same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differ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(e.g., smoking intensity and exercise),</w:t>
      </w:r>
      <w:r>
        <w:t xml:space="preserve"> </w:t>
      </w:r>
      <w:r>
        <w:t xml:space="preserve">but among all individuals with a given value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super-population,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same in the treated and the untreated: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L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say the propensity score</w:t>
      </w:r>
      <w:r>
        <w:t xml:space="preserve"> </w:t>
      </w:r>
      <w:r>
        <w:rPr>
          <w:b/>
          <w:bCs/>
        </w:rPr>
        <w:t xml:space="preserve">balances</w:t>
      </w:r>
      <w:r>
        <w:t xml:space="preserve"> </w:t>
      </w:r>
      <w:r>
        <w:t xml:space="preserve">the covariates.</w:t>
      </w:r>
    </w:p>
    <w:p>
      <w:pPr>
        <w:pStyle w:val="BodyText"/>
      </w:pPr>
      <w:r>
        <w:t xml:space="preserve">Two caveats from the book</w:t>
      </w:r>
      <w:r>
        <w:t xml:space="preserve"> </w:t>
      </w:r>
      <w:r>
        <w:t xml:space="preserve">(Hernán and Robins 2020, 201–2)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propensity score balances only the</w:t>
      </w:r>
      <w:r>
        <w:t xml:space="preserve"> </w:t>
      </w:r>
      <w:r>
        <w:rPr>
          <w:b/>
          <w:bCs/>
        </w:rPr>
        <w:t xml:space="preserve">measured</w:t>
      </w:r>
      <w:r>
        <w:t xml:space="preserve"> </w:t>
      </w:r>
      <w:r>
        <w:t xml:space="preserve">covariates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unlike randomization, it does nothing about unmeasured confounders.</w:t>
      </w:r>
    </w:p>
    <w:p>
      <w:pPr>
        <w:pStyle w:val="Compact"/>
        <w:numPr>
          <w:ilvl w:val="0"/>
          <w:numId w:val="1005"/>
        </w:numPr>
      </w:pPr>
      <w:r>
        <w:t xml:space="preserve">In a finite study population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propensity score balances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only approximately, because of sampling variability.</w:t>
      </w:r>
      <w:r>
        <w:t xml:space="preserve"> </w:t>
      </w:r>
      <w:r>
        <w:t xml:space="preserve">An estimated propensity score from a correct model generally gives better balance;</w:t>
      </w:r>
      <w:r>
        <w:t xml:space="preserve"> </w:t>
      </w:r>
      <w:r>
        <w:t xml:space="preserve">in a randomized experiment, adjusting for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corrects both systematic and chance imbalances, whereas the true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ignores the chance imbalances.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balancing-score"/>
          <w:p>
            <w:pPr>
              <w:pStyle w:val="BodyText"/>
            </w:pPr>
            <w:r>
              <w:rPr>
                <w:b/>
                <w:bCs/>
              </w:rPr>
              <w:t xml:space="preserve">Definition 2 (Balancing Score and Prognostic Score (Technical Point 15.1))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balancing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any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propensity score is the simplest example.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prognostic score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Rosenbaum and Rubin (1983) proved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imply exchangeability and positivity given any balancing score</w:t>
      </w:r>
      <w:r>
        <w:t xml:space="preserve"> </w:t>
      </w:r>
      <w:r>
        <w:t xml:space="preserve">(Hernán and Robins 2020, 202)</w:t>
      </w:r>
      <w:r>
        <w:t xml:space="preserve">.</w:t>
      </w:r>
      <w:r>
        <w:t xml:space="preserve"> </w:t>
      </w:r>
      <w:r>
        <w:t xml:space="preserve">Graphically,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sits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with a deterministic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(book Figure 15.2);</w:t>
      </w:r>
      <w:r>
        <w:t xml:space="preserve"> </w:t>
      </w:r>
      <w:r>
        <w:t xml:space="preserve">since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blocks every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adjusting for it suffices.</w:t>
      </w:r>
    </w:p>
    <w:p>
      <w:pPr>
        <w:pStyle w:val="BodyText"/>
      </w:pPr>
      <w:r>
        <w:t xml:space="preserve">Methods based on prognostic scores need stronger assumptions and do not extend readily to time-varying treatments;</w:t>
      </w:r>
      <w:r>
        <w:t xml:space="preserve"> </w:t>
      </w:r>
      <w:r>
        <w:t xml:space="preserve">see Hansen (2008) and Abadie et al. (2013), as cited in</w:t>
      </w:r>
      <w:r>
        <w:t xml:space="preserve"> </w:t>
      </w:r>
      <w:r>
        <w:t xml:space="preserve">Hernán and Robins (2020, 202)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thm-ps-exchangeability"/>
          <w:p>
            <w:pPr>
              <w:pStyle w:val="BodyText"/>
            </w:pPr>
            <w:r>
              <w:rPr>
                <w:b/>
                <w:bCs/>
              </w:rPr>
              <w:t xml:space="preserve">Theorem 1 (Exchangeability and Positivity Given the Propensity Score)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Positivity holds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(no individual has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equal to 0 or 1)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positivity holds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1"/>
        </w:tc>
      </w:tr>
    </w:tbl>
    <w:p>
      <w:pPr>
        <w:pStyle w:val="FirstParagraph"/>
      </w:pPr>
      <w:r>
        <w:t xml:space="preserve">Hence,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sufficient to adjust for confounding and selection bias, so is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202)</w:t>
      </w:r>
      <w:r>
        <w:t xml:space="preserve">.</w:t>
      </w:r>
      <w:r>
        <w:t xml:space="preserve"> </w:t>
      </w:r>
      <w:r>
        <w:t xml:space="preserve">Positivity given the propensity score means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nonzero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fd6e829bb5bfb256b9fdaa8a2b52eb3f8adbe4b"/>
    <w:p>
      <w:pPr>
        <w:pStyle w:val="Heading3"/>
      </w:pPr>
      <w:r>
        <w:t xml:space="preserve">2.2 Supplement: An Algebraic Proof of the Balancing Results</w:t>
      </w:r>
    </w:p>
    <w:p>
      <w:pPr>
        <w:pStyle w:val="FirstParagraph"/>
      </w:pPr>
      <w:r>
        <w:t xml:space="preserve">The book argues graphically (Technical Point 15.1);</w:t>
      </w:r>
      <w:r>
        <w:t xml:space="preserve"> </w:t>
      </w:r>
      <w:r>
        <w:t xml:space="preserve">the same results follow from iterated expectations.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). </w:t>
            </w:r>
            <w:r>
              <w:t xml:space="preserve">Since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as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Conditioning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alone, by the law of iterated expectations: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two probabilities are equal, so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fixed: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1 of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1 of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which does not depend on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; hence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using-the-propensity-score"/>
    <w:p>
      <w:pPr>
        <w:pStyle w:val="Heading3"/>
      </w:pPr>
      <w:r>
        <w:t xml:space="preserve">2.3 Using the Propensity Score</w:t>
      </w:r>
    </w:p>
    <w:p>
      <w:pPr>
        <w:pStyle w:val="FirstParagraph"/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we can estimate causal effects by</w:t>
      </w:r>
    </w:p>
    <w:p>
      <w:pPr>
        <w:pStyle w:val="Compact"/>
        <w:numPr>
          <w:ilvl w:val="0"/>
          <w:numId w:val="1008"/>
        </w:numPr>
      </w:pPr>
      <w:r>
        <w:t xml:space="preserve">stratification (including outcome regression)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standardization over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First estimate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data, then use the estimate in place of</w:t>
      </w:r>
      <w:r>
        <w:t xml:space="preserve"> </w:t>
      </w:r>
      <m:oMath>
        <m:r>
          <m:t>L</m:t>
        </m:r>
      </m:oMath>
      <w:r>
        <w:t xml:space="preserve">.</w:t>
      </w:r>
    </w:p>
    <w:bookmarkEnd w:id="24"/>
    <w:bookmarkEnd w:id="25"/>
    <w:bookmarkStart w:id="31" w:name="Xbb6a072e6c688c8763c21accee5e0976fa5155a"/>
    <w:p>
      <w:pPr>
        <w:pStyle w:val="Heading2"/>
      </w:pPr>
      <w:r>
        <w:t xml:space="preserve">3 15.3 Propensity Stratification and Standardization (pp. 202-204)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identifying conditions, for each value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the propensity score,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generally continuous, so almost no two individuals share a value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(e.g., only one NHEFS individual had an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of 0.6563).</w:t>
      </w:r>
    </w:p>
    <w:p>
      <w:r>
        <w:pict>
          <v:rect style="width:0;height:1.5pt" o:hralign="center" o:hrstd="t" o:hr="t"/>
        </w:pict>
      </w:r>
    </w:p>
    <w:bookmarkStart w:id="27" w:name="stratifying-on-deciles"/>
    <w:p>
      <w:pPr>
        <w:pStyle w:val="Heading3"/>
      </w:pPr>
      <w:r>
        <w:t xml:space="preserve">3.1 Stratifying on Deciles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exm-ps-deciles"/>
          <w:p>
            <w:pPr>
              <w:pStyle w:val="BodyText"/>
            </w:pPr>
            <w:r>
              <w:rPr>
                <w:b/>
                <w:bCs/>
              </w:rPr>
              <w:t xml:space="preserve">Example 3 (Decile Stratification in NHEFS)</w:t>
            </w:r>
            <w:r>
              <w:t xml:space="preserve"> </w:t>
            </w:r>
            <w:r>
              <w:t xml:space="preserve">Classify individuals into 10 strata (deciles)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about 162 individuals each, and estimate the effect within each decile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decile-specific effects of smoking cessation on weight gain ranged from 0.0 to 6.6 kg, with wide 95% CIs;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estimates come from an outcome regression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9 decile indicators, and 9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indicator product terms;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without product terms (no effect modification by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most applications assume): 3.5 kg (95% CI: 2.6, 4.4).</w:t>
            </w:r>
          </w:p>
          <w:bookmarkEnd w:id="26"/>
        </w:tc>
      </w:tr>
    </w:tbl>
    <w:p>
      <w:pPr>
        <w:pStyle w:val="FirstParagraph"/>
      </w:pPr>
      <w:r>
        <w:t xml:space="preserve">See Fine Point 15.2 (Section 15.5) for effect modification by the propensity score.</w:t>
      </w:r>
    </w:p>
    <w:p>
      <w:r>
        <w:pict>
          <v:rect style="width:0;height:1.5pt" o:hralign="center" o:hrstd="t" o:hr="t"/>
        </w:pict>
      </w:r>
    </w:p>
    <w:bookmarkEnd w:id="27"/>
    <w:bookmarkStart w:id="28" w:name="X7dd2491d7774fc8bb77e2f7954fad31fdc6f1fe"/>
    <w:p>
      <w:pPr>
        <w:pStyle w:val="Heading3"/>
      </w:pPr>
      <w:r>
        <w:t xml:space="preserve">3.2 A Problem with Categorized Propensity Scores</w:t>
      </w:r>
    </w:p>
    <w:p>
      <w:pPr>
        <w:pStyle w:val="FirstParagraph"/>
      </w:pPr>
      <w:r>
        <w:t xml:space="preserve">Within a decile, the distribution of the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still differ between treated and untreated</w:t>
      </w:r>
      <w:r>
        <w:t xml:space="preserve"> </w:t>
      </w:r>
      <w:r>
        <w:t xml:space="preserve">(e.g., higher average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treated), so the groups may not be exchangeable within that decile.</w:t>
      </w:r>
    </w:p>
    <w:p>
      <w:pPr>
        <w:pStyle w:val="BodyText"/>
      </w:pPr>
      <w:r>
        <w:t xml:space="preserve">Remedy: use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covariate in the outcome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</m:oMath>
      <w:r>
        <w:t xml:space="preserve">.</w:t>
      </w:r>
      <w:r>
        <w:t xml:space="preserve"> </w:t>
      </w:r>
      <w:r>
        <w:t xml:space="preserve">In NHEFS (linear in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): 3.6 kg (95% CI: 2.7, 4.5).</w:t>
      </w:r>
    </w:p>
    <w:p>
      <w:pPr>
        <w:pStyle w:val="BodyText"/>
      </w:pPr>
      <w:r>
        <w:t xml:space="preserve">IP weighting and g-estimation never had this problem, because they used the numerical value of the estimated probability rather than a categorized version</w:t>
      </w:r>
      <w:r>
        <w:t xml:space="preserve"> </w:t>
      </w:r>
      <w:r>
        <w:t xml:space="preserve">(Hernán and Robins 2020, 203)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Caution</w:t>
      </w:r>
      <w:r>
        <w:t xml:space="preserve">: for a dichotomous treatment the IP weight denominator is not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but a function of it: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BodyText"/>
      </w:pPr>
      <w:r>
        <w:t xml:space="preserve">The outcome model now requires a correct specification of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Because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one-dimensional, this is easy to protect with flexible terms such as cubic splines;</w:t>
      </w:r>
      <w:r>
        <w:t xml:space="preserve"> </w:t>
      </w:r>
      <w:r>
        <w:t xml:space="preserve">IP weighting and g-estimation were agnostic about that relation.</w:t>
      </w:r>
      <w:r>
        <w:t xml:space="preserve"> </w:t>
      </w:r>
      <w:r>
        <w:t xml:space="preserve">Note, though, that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must still be estimated from a model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high-dimensional</w:t>
      </w:r>
      <w:r>
        <w:t xml:space="preserve"> </w:t>
      </w:r>
      <m:oMath>
        <m:r>
          <m:t>L</m:t>
        </m:r>
      </m:oMath>
      <w:r>
        <w:t xml:space="preserve">, as in IP weighting and g-estimation.</w:t>
      </w:r>
    </w:p>
    <w:p>
      <w:r>
        <w:pict>
          <v:rect style="width:0;height:1.5pt" o:hralign="center" o:hrstd="t" o:hr="t"/>
        </w:pict>
      </w:r>
    </w:p>
    <w:bookmarkEnd w:id="28"/>
    <w:bookmarkStart w:id="30" w:name="standardizing-over-the-propensity-score"/>
    <w:p>
      <w:pPr>
        <w:pStyle w:val="Heading3"/>
      </w:pPr>
      <w:r>
        <w:t xml:space="preserve">3.3 Standardizing over the Propensity Score</w:t>
      </w:r>
    </w:p>
    <w:p>
      <w:pPr>
        <w:pStyle w:val="FirstParagraph"/>
      </w:pPr>
      <w:r>
        <w:t xml:space="preserve">The outcome model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estimates effects</w:t>
      </w:r>
      <w:r>
        <w:t xml:space="preserve"> </w:t>
      </w:r>
      <w:r>
        <w:rPr>
          <w:b/>
          <w:bCs/>
        </w:rPr>
        <w:t xml:space="preserve">within</w:t>
      </w:r>
      <w:r>
        <w:t xml:space="preserve"> </w:t>
      </w:r>
      <w:r>
        <w:t xml:space="preserve">levels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population 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standardize the fitted conditional means over the distribution of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Chapter 13 procedure with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p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4 (Standardized Estimate in NHEFS)</w:t>
            </w:r>
            <w:r>
              <w:t xml:space="preserve"> </w:t>
            </w:r>
            <w:r>
              <w:t xml:space="preserve">Standardizing over the estimated propensity score (the outcome model may include an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product term) gives</w:t>
            </w:r>
            <w:r>
              <w:t xml:space="preserve"> </w:t>
            </w:r>
            <w:r>
              <w:t xml:space="preserve">3.6 kg (95% CI: 2.7, 4.6)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.</w:t>
            </w:r>
          </w:p>
          <w:bookmarkEnd w:id="29"/>
        </w:tc>
      </w:tr>
    </w:tbl>
    <w:bookmarkEnd w:id="30"/>
    <w:bookmarkEnd w:id="31"/>
    <w:bookmarkStart w:id="36" w:name="propensity-matching-pp.-204-205"/>
    <w:p>
      <w:pPr>
        <w:pStyle w:val="Heading2"/>
      </w:pPr>
      <w:r>
        <w:t xml:space="preserve">4 15.4 Propensity Matching (pp. 204-205)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analogous to matching on a single continuous variable (Chapter 4).</w:t>
      </w:r>
      <w:r>
        <w:t xml:space="preserve"> </w:t>
      </w:r>
      <w:r>
        <w:t xml:space="preserve">All versions try to build a</w:t>
      </w:r>
      <w:r>
        <w:t xml:space="preserve"> </w:t>
      </w:r>
      <w:r>
        <w:rPr>
          <w:b/>
          <w:bCs/>
        </w:rPr>
        <w:t xml:space="preserve">matched population</w:t>
      </w:r>
      <w:r>
        <w:t xml:space="preserve"> </w:t>
      </w:r>
      <w:r>
        <w:t xml:space="preserve">in which treated and untreated have the same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and hence are exchangeable.</w:t>
      </w:r>
    </w:p>
    <w:p>
      <w:pPr>
        <w:pStyle w:val="Compact"/>
        <w:numPr>
          <w:ilvl w:val="0"/>
          <w:numId w:val="1010"/>
        </w:numPr>
      </w:pPr>
      <w:r>
        <w:t xml:space="preserve">E.g., pair each treated individual with one (or more) untreated individuals with the same, or a close, propensity score.</w:t>
      </w:r>
    </w:p>
    <w:p>
      <w:pPr>
        <w:pStyle w:val="Compact"/>
        <w:numPr>
          <w:ilvl w:val="0"/>
          <w:numId w:val="1010"/>
        </w:numPr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association measures in the matched population consistently estimate the effect measures</w:t>
      </w:r>
      <w:r>
        <w:t xml:space="preserve"> </w:t>
      </w:r>
      <w:r>
        <w:rPr>
          <w:b/>
          <w:bCs/>
        </w:rPr>
        <w:t xml:space="preserve">in the matched population</w:t>
      </w:r>
      <w:r>
        <w:t xml:space="preserve">.</w:t>
      </w:r>
    </w:p>
    <w:p>
      <w:pPr>
        <w:pStyle w:val="FirstParagraph"/>
      </w:pPr>
      <w:r>
        <w:t xml:space="preserve">The matched population can be given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of the treated, of the untreated, or any other distribution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pPr>
        <w:pStyle w:val="BodyText"/>
      </w:pPr>
      <w:r>
        <w:t xml:space="preserve">Variance estimation for matched estimators used to be an open problem;</w:t>
      </w:r>
      <w:r>
        <w:t xml:space="preserve"> </w:t>
      </w:r>
      <w:r>
        <w:t xml:space="preserve">Abadie and Imbens (2006) solved it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defining-closeness"/>
    <w:p>
      <w:pPr>
        <w:pStyle w:val="Heading3"/>
      </w:pPr>
      <w:r>
        <w:t xml:space="preserve">4.1 Defining Closeness</w:t>
      </w:r>
    </w:p>
    <w:p>
      <w:pPr>
        <w:pStyle w:val="FirstParagraph"/>
      </w:pPr>
      <w:r>
        <w:t xml:space="preserve">Exact matches on a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are rare, so we match on a</w:t>
      </w:r>
      <w:r>
        <w:t xml:space="preserve"> </w:t>
      </w:r>
      <w:r>
        <w:rPr>
          <w:b/>
          <w:bCs/>
        </w:rPr>
        <w:t xml:space="preserve">close</w:t>
      </w:r>
      <w:r>
        <w:t xml:space="preserve"> </w:t>
      </w:r>
      <w:r>
        <w:t xml:space="preserve">value,</w:t>
      </w:r>
      <w:r>
        <w:t xml:space="preserve"> </w:t>
      </w:r>
      <w:r>
        <w:t xml:space="preserve">e.g., untreated individuals within</w:t>
      </w:r>
      <w:r>
        <w:t xml:space="preserve"> </w:t>
      </w:r>
      <m:oMath>
        <m:r>
          <m:rPr>
            <m:sty m:val="p"/>
          </m:rPr>
          <m:t>±</m:t>
        </m:r>
        <m:r>
          <m:t>0.05</m:t>
        </m:r>
      </m:oMath>
      <w:r>
        <w:t xml:space="preserve"> </w:t>
      </w:r>
      <w:r>
        <w:t xml:space="preserve">of the treated individual’s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(e.g., a treated individual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0.6563</m:t>
        </m:r>
      </m:oMath>
      <w:r>
        <w:t xml:space="preserve"> </w:t>
      </w:r>
      <w:r>
        <w:t xml:space="preserve">could be matched to an untreated individual with 0.6579).</w:t>
      </w:r>
    </w:p>
    <w:p>
      <w:pPr>
        <w:pStyle w:val="BodyText"/>
      </w:pPr>
      <w:r>
        <w:rPr>
          <w:b/>
          <w:bCs/>
        </w:rPr>
        <w:t xml:space="preserve">Bias-variance trade-off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criteria too loose: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differs between matched treated and untreated, so exchangeability fails;</w:t>
      </w:r>
    </w:p>
    <w:p>
      <w:pPr>
        <w:pStyle w:val="Compact"/>
        <w:numPr>
          <w:ilvl w:val="0"/>
          <w:numId w:val="1011"/>
        </w:numPr>
      </w:pPr>
      <w:r>
        <w:t xml:space="preserve">criteria too tight: many individuals are excluded;</w:t>
      </w:r>
      <w:r>
        <w:t xml:space="preserve"> </w:t>
      </w:r>
      <w:r>
        <w:t xml:space="preserve">approximate exchangeability, but wider confidence intervals.</w:t>
      </w:r>
    </w:p>
    <w:p>
      <w:r>
        <w:pict>
          <v:rect style="width:0;height:1.5pt" o:hralign="center" o:hrstd="t" o:hr="t"/>
        </w:pict>
      </w:r>
    </w:p>
    <w:bookmarkEnd w:id="32"/>
    <w:bookmarkStart w:id="33" w:name="matching-and-positivity"/>
    <w:p>
      <w:pPr>
        <w:pStyle w:val="Heading3"/>
      </w:pPr>
      <w:r>
        <w:t xml:space="preserve">4.2 Matching and Positivity</w:t>
      </w:r>
    </w:p>
    <w:p>
      <w:pPr>
        <w:pStyle w:val="Compact"/>
        <w:numPr>
          <w:ilvl w:val="0"/>
          <w:numId w:val="1012"/>
        </w:numPr>
      </w:pPr>
      <w:r>
        <w:t xml:space="preserve">In NHEFS,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distributions overlapped over most of the range;</w:t>
      </w:r>
      <w:r>
        <w:t xml:space="preserve"> </w:t>
      </w:r>
      <w:r>
        <w:t xml:space="preserve">only 2 treated individuals had values above those of every untreated individual.</w:t>
      </w:r>
    </w:p>
    <w:p>
      <w:pPr>
        <w:pStyle w:val="Compact"/>
        <w:numPr>
          <w:ilvl w:val="0"/>
          <w:numId w:val="1012"/>
        </w:numPr>
      </w:pPr>
      <w:r>
        <w:t xml:space="preserve">Outcome regression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(Section 15.3) kept them, implicitly treating the lack of comparable untreated individuals as</w:t>
      </w:r>
      <w:r>
        <w:t xml:space="preserve"> </w:t>
      </w:r>
      <w:r>
        <w:rPr>
          <w:b/>
          <w:bCs/>
        </w:rPr>
        <w:t xml:space="preserve">random nonpositivity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Most matched analyses would drop them.</w:t>
      </w:r>
      <w:r>
        <w:t xml:space="preserve"> </w:t>
      </w:r>
      <w:r>
        <w:t xml:space="preserve">Matching does not distinguish random from structural nonpositivity.</w:t>
      </w:r>
    </w:p>
    <w:p>
      <w:pPr>
        <w:pStyle w:val="FirstParagraph"/>
      </w:pPr>
      <w:r>
        <w:t xml:space="preserve">The book also states this count as a percentage of the study population (0.01%);</w:t>
      </w:r>
      <w:r>
        <w:t xml:space="preserve"> </w:t>
      </w:r>
      <w:r>
        <w:t xml:space="preserve">that percentage is not reproduced here because it is inconsistent with the counts: 2 individuals are about 0.1% of a study population of roughly 1,600.</w:t>
      </w:r>
    </w:p>
    <w:p>
      <w:r>
        <w:pict>
          <v:rect style="width:0;height:1.5pt" o:hralign="center" o:hrstd="t" o:hr="t"/>
        </w:pict>
      </w:r>
    </w:p>
    <w:bookmarkEnd w:id="33"/>
    <w:bookmarkStart w:id="34" w:name="who-is-in-the-matched-population"/>
    <w:p>
      <w:pPr>
        <w:pStyle w:val="Heading3"/>
      </w:pPr>
      <w:r>
        <w:t xml:space="preserve">4.3 Who Is in the Matched Population?</w:t>
      </w:r>
    </w:p>
    <w:p>
      <w:pPr>
        <w:pStyle w:val="Compact"/>
        <w:numPr>
          <w:ilvl w:val="0"/>
          <w:numId w:val="1013"/>
        </w:numPr>
      </w:pPr>
      <w:r>
        <w:t xml:space="preserve">In theory, matching targets a well-characterized population: matching every treated individual and dropping unmatched untreated estimates the</w:t>
      </w:r>
      <w:r>
        <w:t xml:space="preserve"> </w:t>
      </w:r>
      <w:r>
        <w:rPr>
          <w:b/>
          <w:bCs/>
        </w:rPr>
        <w:t xml:space="preserve">effect in the treated</w:t>
      </w:r>
      <w:r>
        <w:t xml:space="preserve"> </w:t>
      </w:r>
      <w:r>
        <w:t xml:space="preserve">(Fine Point 15.2).</w:t>
      </w:r>
    </w:p>
    <w:p>
      <w:pPr>
        <w:pStyle w:val="Compact"/>
        <w:numPr>
          <w:ilvl w:val="0"/>
          <w:numId w:val="1013"/>
        </w:numPr>
      </w:pPr>
      <w:r>
        <w:t xml:space="preserve">In practice, treated individuals without a close match are excluded too, so the estimate refers to a subset defined by the values of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that found matches.</w:t>
      </w:r>
    </w:p>
    <w:p>
      <w:pPr>
        <w:pStyle w:val="FirstParagraph"/>
      </w:pPr>
      <w:r>
        <w:t xml:space="preserve">Restricting to, say,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0.67</m:t>
        </m:r>
      </m:oMath>
      <w:r>
        <w:t xml:space="preserve"> </w:t>
      </w:r>
      <w:r>
        <w:t xml:space="preserve">yields a population that is hard to describe:</w:t>
      </w:r>
      <w:r>
        <w:t xml:space="preserve"> </w:t>
      </w:r>
      <w:r>
        <w:t xml:space="preserve">“individuals do not come with a propensity score tattooed on their forehead”</w:t>
      </w:r>
      <w:r>
        <w:t xml:space="preserve"> </w:t>
      </w:r>
      <w:r>
        <w:t xml:space="preserve">(Hernán and Robins 2020, 205)</w:t>
      </w:r>
      <w:r>
        <w:t xml:space="preserve">,</w:t>
      </w:r>
      <w:r>
        <w:t xml:space="preserve"> </w:t>
      </w:r>
      <w:r>
        <w:t xml:space="preserve">so transportability to other populations is hard to judge.</w:t>
      </w:r>
    </w:p>
    <w:p>
      <w:r>
        <w:pict>
          <v:rect style="width:0;height:1.5pt" o:hralign="center" o:hrstd="t" o:hr="t"/>
        </w:pict>
      </w:r>
    </w:p>
    <w:bookmarkEnd w:id="34"/>
    <w:bookmarkStart w:id="35" w:name="restrict-on-real-world-variables-instead"/>
    <w:p>
      <w:pPr>
        <w:pStyle w:val="Heading3"/>
      </w:pPr>
      <w:r>
        <w:t xml:space="preserve">4.4 Restrict on Real-World Variables Instead</w:t>
      </w:r>
    </w:p>
    <w:p>
      <w:pPr>
        <w:pStyle w:val="FirstParagraph"/>
      </w:pPr>
      <w:r>
        <w:t xml:space="preserve">In NHEFS, the 2 treated individuals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0.67</m:t>
        </m:r>
      </m:oMath>
      <w:r>
        <w:t xml:space="preserve"> </w:t>
      </w:r>
      <w:r>
        <w:t xml:space="preserve">were the only participants over age 50 who had smoked for fewer than 10 years.</w:t>
      </w:r>
      <w:r>
        <w:t xml:space="preserve"> </w:t>
      </w:r>
      <w:r>
        <w:t xml:space="preserve">Excluding them gives an estimate for</w:t>
      </w:r>
    </w:p>
    <w:p>
      <w:pPr>
        <w:pStyle w:val="Compact"/>
        <w:numPr>
          <w:ilvl w:val="0"/>
          <w:numId w:val="1014"/>
        </w:numPr>
      </w:pPr>
      <w:r>
        <w:t xml:space="preserve">smokers under 50, and</w:t>
      </w:r>
    </w:p>
    <w:p>
      <w:pPr>
        <w:pStyle w:val="Compact"/>
        <w:numPr>
          <w:ilvl w:val="0"/>
          <w:numId w:val="1014"/>
        </w:numPr>
      </w:pPr>
      <w:r>
        <w:t xml:space="preserve">smokers 50 and over who had smoked for at least 10 years,</w:t>
      </w:r>
    </w:p>
    <w:p>
      <w:pPr>
        <w:pStyle w:val="FirstParagraph"/>
      </w:pPr>
      <w:r>
        <w:t xml:space="preserve">which is a far more natural target population than</w:t>
      </w:r>
      <w:r>
        <w:t xml:space="preserve"> </w:t>
      </w:r>
      <w:r>
        <w:t xml:space="preserve">“estimated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0.67</m:t>
        </m:r>
      </m:oMath>
      <w:r>
        <w:t xml:space="preserve">”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pPr>
        <w:pStyle w:val="BodyText"/>
      </w:pPr>
      <w:r>
        <w:t xml:space="preserve">Using propensity scores to</w:t>
      </w:r>
      <w:r>
        <w:t xml:space="preserve"> </w:t>
      </w:r>
      <w:r>
        <w:rPr>
          <w:b/>
          <w:bCs/>
        </w:rPr>
        <w:t xml:space="preserve">find</w:t>
      </w:r>
      <w:r>
        <w:t xml:space="preserve"> </w:t>
      </w:r>
      <w:r>
        <w:t xml:space="preserve">the region of overlap can be useful,</w:t>
      </w:r>
      <w:r>
        <w:t xml:space="preserve"> </w:t>
      </w:r>
      <w:r>
        <w:t xml:space="preserve">but restricting the study population to that region is a</w:t>
      </w:r>
      <w:r>
        <w:t xml:space="preserve"> </w:t>
      </w:r>
      <w:r>
        <w:t xml:space="preserve">“lazy”</w:t>
      </w:r>
      <w:r>
        <w:t xml:space="preserve"> </w:t>
      </w:r>
      <w:r>
        <w:t xml:space="preserve">way to secure positivity:</w:t>
      </w:r>
      <w:r>
        <w:t xml:space="preserve"> </w:t>
      </w:r>
      <w:r>
        <w:t xml:space="preserve">the automatic positivity of matching must be weighed against the difficulty of assessing transportability</w:t>
      </w:r>
      <w:r>
        <w:t xml:space="preserve"> </w:t>
      </w:r>
      <w:r>
        <w:t xml:space="preserve">(Hernán and Robins 2020, 205)</w:t>
      </w:r>
      <w:r>
        <w:t xml:space="preserve">.</w:t>
      </w:r>
      <w:r>
        <w:t xml:space="preserve"> </w:t>
      </w:r>
      <w:r>
        <w:t xml:space="preserve">Even if everyone’s propensity score were visible, the population could remain ill-characterized, because the same propensity score value can mean different things in different settings.</w:t>
      </w:r>
    </w:p>
    <w:bookmarkEnd w:id="35"/>
    <w:bookmarkEnd w:id="36"/>
    <w:bookmarkStart w:id="45" w:name="X2b8f3fbf6f944863a7f116e72fd1bfc77dfd929"/>
    <w:p>
      <w:pPr>
        <w:pStyle w:val="Heading2"/>
      </w:pPr>
      <w:r>
        <w:t xml:space="preserve">5 15.5 Propensity Models, Structural Models, Predictive Models (pp. 205-208)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used two kinds of models for causal inference.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propensity-structural-models"/>
          <w:p>
            <w:pPr>
              <w:pStyle w:val="BodyText"/>
            </w:pPr>
            <w:r>
              <w:rPr>
                <w:b/>
                <w:bCs/>
              </w:rPr>
              <w:t xml:space="preserve">Definition 3 (Propensity Models and Structural Models)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Propensity models</w:t>
            </w:r>
            <w:r>
              <w:t xml:space="preserve">: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the variables needed for conditional exchangeability.</w:t>
            </w:r>
            <w:r>
              <w:t xml:space="preserve"> </w:t>
            </w:r>
            <w:r>
              <w:t xml:space="preserve">Their parameters are</w:t>
            </w:r>
            <w:r>
              <w:t xml:space="preserve"> </w:t>
            </w:r>
            <w:r>
              <w:rPr>
                <w:b/>
                <w:bCs/>
              </w:rPr>
              <w:t xml:space="preserve">nuisance parameters</w:t>
            </w:r>
            <w:r>
              <w:t xml:space="preserve"> </w:t>
            </w:r>
            <w:r>
              <w:t xml:space="preserve">with no causal interpretation.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Structural models</w:t>
            </w:r>
            <w:r>
              <w:t xml:space="preserve">: models relating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some feature (e.g., the mean) of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marginally or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Their treatment parameters</w:t>
            </w:r>
            <w:r>
              <w:t xml:space="preserve"> </w:t>
            </w:r>
            <w:r>
              <w:rPr>
                <w:b/>
                <w:bCs/>
              </w:rPr>
              <w:t xml:space="preserve">do</w:t>
            </w:r>
            <w:r>
              <w:t xml:space="preserve"> </w:t>
            </w:r>
            <w:r>
              <w:t xml:space="preserve">have a causal interpretation.</w:t>
            </w:r>
            <w:r>
              <w:t xml:space="preserve"> </w:t>
            </w:r>
            <w:r>
              <w:t xml:space="preserve">For continuous treatments they are often called</w:t>
            </w:r>
            <w:r>
              <w:t xml:space="preserve"> </w:t>
            </w:r>
            <w:r>
              <w:rPr>
                <w:b/>
                <w:bCs/>
              </w:rPr>
              <w:t xml:space="preserve">dose-response models</w:t>
            </w:r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Propensity models have been used for matching and stratification (this chapter), IP weighting (Chapter 12), and g-estimation (Chapter 14).</w:t>
      </w:r>
      <w:r>
        <w:t xml:space="preserve"> </w:t>
      </w:r>
      <w:r>
        <w:t xml:space="preserve">Their parameters lack a causal interpretation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associated for many reasons:</w:t>
      </w:r>
      <w:r>
        <w:t xml:space="preserve"> </w:t>
      </w:r>
      <w:r>
        <w:t xml:space="preserve">the association reflects the effect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the book’s Figure 7.1, but not under Figures 7.2 and 7.3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two-classes-of-structural-models"/>
    <w:p>
      <w:pPr>
        <w:pStyle w:val="Heading3"/>
      </w:pPr>
      <w:r>
        <w:t xml:space="preserve">5.1 Two Classes of Structural Models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Marginal structural models</w:t>
      </w:r>
      <w:r>
        <w:t xml:space="preserve">: parameters for treatment, for chosen effect modifiers</w:t>
      </w:r>
      <w:r>
        <w:t xml:space="preserve"> </w:t>
      </w:r>
      <m:oMath>
        <m:r>
          <m:t>V</m:t>
        </m:r>
      </m:oMath>
      <w:r>
        <w:t xml:space="preserve">, 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  <w:r>
        <w:t xml:space="preserve"> </w:t>
      </w:r>
      <w:r>
        <w:t xml:space="preserve">product terms.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reflects only the investigator’s interest in effect modification (Section 12.5).</w:t>
      </w:r>
    </w:p>
    <w:p>
      <w:pPr>
        <w:pStyle w:val="Compact"/>
        <w:numPr>
          <w:ilvl w:val="1"/>
          <w:numId w:val="1017"/>
        </w:numPr>
      </w:pPr>
      <w:r>
        <w:t xml:space="preserve">No</w:t>
      </w:r>
      <w:r>
        <w:t xml:space="preserve"> </w:t>
      </w:r>
      <m:oMath>
        <m:r>
          <m:t>V</m:t>
        </m:r>
      </m:oMath>
      <w:r>
        <w:t xml:space="preserve">: truly marginal.</w:t>
      </w:r>
    </w:p>
    <w:p>
      <w:pPr>
        <w:pStyle w:val="Compact"/>
        <w:numPr>
          <w:ilvl w:val="1"/>
          <w:numId w:val="1017"/>
        </w:numPr>
      </w:pPr>
      <m:oMath>
        <m:r>
          <m:t>V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(all covariates): a</w:t>
      </w:r>
      <w:r>
        <w:t xml:space="preserve"> </w:t>
      </w:r>
      <w:r>
        <w:rPr>
          <w:b/>
          <w:bCs/>
        </w:rPr>
        <w:t xml:space="preserve">faux</w:t>
      </w:r>
      <w:r>
        <w:t xml:space="preserve"> </w:t>
      </w:r>
      <w:r>
        <w:t xml:space="preserve">marginal structural model, which is what outcome regression (Section 15.1) estimates.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Structural nested models</w:t>
      </w:r>
      <w:r>
        <w:t xml:space="preserve">: parameters for treatment 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for those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are effect modifiers.</w:t>
      </w:r>
    </w:p>
    <w:p>
      <w:pPr>
        <w:pStyle w:val="FirstParagraph"/>
      </w:pPr>
      <w:r>
        <w:t xml:space="preserve">See Fine Point 14.1 of the book for the relation between structural nested models and faux semiparametric marginal structural models</w:t>
      </w:r>
      <w:r>
        <w:t xml:space="preserve"> </w:t>
      </w:r>
      <w:r>
        <w:t xml:space="preserve">(Hernán and Robins 2020, 206)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15.2: Effect Modification and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Matched and unmatched estimates may differ because of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</w:t>
            </w:r>
            <w:r>
              <w:t xml:space="preserve"> </w:t>
            </w:r>
            <w:r>
              <w:t xml:space="preserve">when untreated far outnumber treated, matching keeps nearly all treated and drops many untreated,</w:t>
            </w:r>
            <w:r>
              <w:t xml:space="preserve"> </w:t>
            </w:r>
            <w:r>
              <w:t xml:space="preserve">so the matched population resembles the treated and the estimate approaches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(Technical Point 4.1 gives IP weighting and standardization alternatives for that effect).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Effect modification across propensity strata may suggest that decision makers treat those likely to benefit (Kurth et al. 2006,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),</w:t>
            </w:r>
            <w:r>
              <w:t xml:space="preserve"> </w:t>
            </w:r>
            <w:r>
              <w:t xml:space="preserve">but statements like</w:t>
            </w:r>
            <w:r>
              <w:t xml:space="preserve"> </w:t>
            </w:r>
            <w:r>
              <w:t xml:space="preserve">“beneficial for propensity scores between 0.11 and 0.93”</w:t>
            </w:r>
            <w:r>
              <w:t xml:space="preserve"> </w:t>
            </w:r>
            <w:r>
              <w:t xml:space="preserve">have little policy relevance because they are not expressed in terms of measured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Other reasons matched and overall estimates may differ: positivity violations among the unmatched, or an unmeasured confounder that is more (or less) prevalent, or better (or worse) measured, in the matched population;</w:t>
            </w:r>
            <w:r>
              <w:t xml:space="preserve"> </w:t>
            </w:r>
            <w:r>
              <w:t xml:space="preserve">apparent effect modification may reflect different residual confounding across propensity strata.</w:t>
            </w:r>
          </w:p>
          <w:p/>
        </w:tc>
      </w:tr>
    </w:tbl>
    <w:bookmarkEnd w:id="40"/>
    <w:bookmarkStart w:id="41" w:name="Xff0af4979121b5a2033b56ed9cf29993b20bce4"/>
    <w:p>
      <w:pPr>
        <w:pStyle w:val="Heading3"/>
      </w:pPr>
      <w:r>
        <w:t xml:space="preserve">5.2 Causal Versus Predictive Uses of Outcome Regression</w:t>
      </w:r>
    </w:p>
    <w:p>
      <w:pPr>
        <w:pStyle w:val="FirstParagraph"/>
      </w:pPr>
      <w:r>
        <w:t xml:space="preserve">Outcome regression is also widely used 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t xml:space="preserve">online retailers predicting who will buy;</w:t>
      </w:r>
    </w:p>
    <w:p>
      <w:pPr>
        <w:pStyle w:val="Compact"/>
        <w:numPr>
          <w:ilvl w:val="0"/>
          <w:numId w:val="1019"/>
        </w:numPr>
      </w:pPr>
      <w:r>
        <w:t xml:space="preserve">clinical algorithms identifying patients at high risk.</w:t>
      </w:r>
    </w:p>
    <w:p>
      <w:pPr>
        <w:pStyle w:val="FirstParagraph"/>
      </w:pPr>
      <w:r>
        <w:t xml:space="preserve">There, no variable is</w:t>
      </w:r>
      <w:r>
        <w:t xml:space="preserve"> </w:t>
      </w:r>
      <w:r>
        <w:t xml:space="preserve">“treatment”</w:t>
      </w:r>
      <w:r>
        <w:t xml:space="preserve"> </w:t>
      </w:r>
      <w:r>
        <w:t xml:space="preserve">and the parameters need not have any causal interpretation.</w:t>
      </w:r>
    </w:p>
    <w:p>
      <w:pPr>
        <w:pStyle w:val="BodyText"/>
      </w:pPr>
      <w:r>
        <w:t xml:space="preserve">Example from the book’s margin: Facebook Likes predict sexual orientation, political views, and personality traits (Kosinski et al. 2013, as cited in</w:t>
      </w:r>
      <w:r>
        <w:t xml:space="preserve"> </w:t>
      </w:r>
      <w:r>
        <w:t xml:space="preserve">Hernán and Robins (2020, 206)</w:t>
      </w:r>
      <w:r>
        <w:t xml:space="preserve">);</w:t>
      </w:r>
      <w:r>
        <w:t xml:space="preserve"> </w:t>
      </w:r>
      <w:r>
        <w:t xml:space="preserve">that is prediction, not necessarily causation.</w:t>
      </w:r>
    </w:p>
    <w:p>
      <w:r>
        <w:pict>
          <v:rect style="width:0;height:1.5pt" o:hralign="center" o:hrstd="t" o:hr="t"/>
        </w:pict>
      </w:r>
    </w:p>
    <w:bookmarkEnd w:id="41"/>
    <w:bookmarkStart w:id="43" w:name="X11c077b3ea3320e82c32939cbcc6f310e74a00f"/>
    <w:p>
      <w:pPr>
        <w:pStyle w:val="Heading3"/>
      </w:pPr>
      <w:r>
        <w:t xml:space="preserve">5.3 Variable Selection: Prediction Tools Misapplied</w:t>
      </w:r>
    </w:p>
    <w:p>
      <w:pPr>
        <w:pStyle w:val="FirstParagraph"/>
      </w:pPr>
      <w:r>
        <w:t xml:space="preserve">Forward selection, backward elimination, stepwise selection, and machine learning are built to</w:t>
      </w:r>
      <w:r>
        <w:t xml:space="preserve"> </w:t>
      </w:r>
      <w:r>
        <w:rPr>
          <w:b/>
          <w:bCs/>
        </w:rPr>
        <w:t xml:space="preserve">improve prediction</w:t>
      </w:r>
      <w:r>
        <w:t xml:space="preserve">.</w:t>
      </w:r>
      <w:r>
        <w:t xml:space="preserve"> </w:t>
      </w:r>
      <w:r>
        <w:t xml:space="preserve">Applied to propensity or structural models, they can add superfluous or harmful covariates, causing</w:t>
      </w:r>
    </w:p>
    <w:p>
      <w:pPr>
        <w:pStyle w:val="Compact"/>
        <w:numPr>
          <w:ilvl w:val="0"/>
          <w:numId w:val="1020"/>
        </w:numPr>
      </w:pPr>
      <w:r>
        <w:t xml:space="preserve">inflated variances, and</w:t>
      </w:r>
    </w:p>
    <w:p>
      <w:pPr>
        <w:pStyle w:val="Compact"/>
        <w:numPr>
          <w:ilvl w:val="0"/>
          <w:numId w:val="1020"/>
        </w:numPr>
      </w:pPr>
      <w:r>
        <w:t xml:space="preserve">greater bias.</w:t>
      </w:r>
    </w:p>
    <w:p>
      <w:pPr>
        <w:pStyle w:val="FirstParagraph"/>
      </w:pPr>
      <w:r>
        <w:t xml:space="preserve">The mistaken belief behind this: that a propensity model should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well as possible.</w:t>
      </w:r>
      <w:r>
        <w:t xml:space="preserve"> </w:t>
      </w:r>
      <w:r>
        <w:t xml:space="preserve">It need not; it only needs to include the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guarantee exchangeability.</w:t>
      </w:r>
    </w:p>
    <w:p>
      <w:pPr>
        <w:pStyle w:val="BodyText"/>
      </w:pPr>
      <w:r>
        <w:t xml:space="preserve">Reporting predictive measures such as Mallows’s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propensity models is common, but their relevance for causal inference is questionable</w:t>
      </w:r>
      <w:r>
        <w:t xml:space="preserve"> </w:t>
      </w:r>
      <w:r>
        <w:t xml:space="preserve">(Hernán and Robins 2020, 207)</w:t>
      </w:r>
      <w:r>
        <w:t xml:space="preserve">.</w:t>
      </w:r>
      <w:r>
        <w:t xml:space="preserve"> </w:t>
      </w:r>
      <w:r>
        <w:t xml:space="preserve">Covariates strongly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needed for exchangeability do not reduce bias;</w:t>
      </w:r>
      <w:r>
        <w:t xml:space="preserve"> </w:t>
      </w:r>
      <w:r>
        <w:t xml:space="preserve">including them can yield very large variances or even amplify existing bias.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exm-hospital"/>
          <w:p>
            <w:pPr>
              <w:pStyle w:val="BodyText"/>
            </w:pPr>
            <w:r>
              <w:rPr>
                <w:b/>
                <w:bCs/>
              </w:rPr>
              <w:t xml:space="preserve">Example 5 (Hospitals Aceso and Panacea)</w:t>
            </w:r>
            <w:r>
              <w:t xml:space="preserve"> </w:t>
            </w:r>
            <w:r>
              <w:t xml:space="preserve">Everyone attends hospital Aceso,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hospital Panacea,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Hospital affects the outcome 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so it is not needed for exchangeability</w:t>
            </w:r>
            <w:r>
              <w:t xml:space="preserve"> </w:t>
            </w:r>
            <w:r>
              <w:t xml:space="preserve">(Hernán and Robins 2020, 207)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Adding Hospital to the propensity model gives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0.99</m:t>
              </m:r>
            </m:oMath>
            <w:r>
              <w:t xml:space="preserve"> </w:t>
            </w:r>
            <w:r>
              <w:t xml:space="preserve">in Aceso and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0.01</m:t>
              </m:r>
            </m:oMath>
            <w:r>
              <w:t xml:space="preserve"> </w:t>
            </w:r>
            <w:r>
              <w:t xml:space="preserve">in Panacea in the target population.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By chance, some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-strata of the study population may then contain only treated (Aceso) or only untreated (Panacea) individuals.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Result: a near-infinite variance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reduction in confounding.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now well predicted is irrelevant.</w:t>
            </w:r>
          </w:p>
          <w:bookmarkEnd w:id="42"/>
        </w:tc>
      </w:tr>
    </w:tbl>
    <w:p>
      <w:pPr>
        <w:pStyle w:val="FirstParagraph"/>
      </w:pPr>
      <w:r>
        <w:t xml:space="preserve">In the limit of perfect prediction, every 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untreated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there is no overlap and the analysis is impossible</w:t>
      </w:r>
      <w:r>
        <w:t xml:space="preserve"> </w:t>
      </w:r>
      <w:r>
        <w:t xml:space="preserve">(Hernán and Robins 2020, 207)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44" w:name="X0f44b93a9159b30b472d6c73719fdf994fdbee8"/>
    <w:p>
      <w:pPr>
        <w:pStyle w:val="Heading3"/>
      </w:pPr>
      <w:r>
        <w:t xml:space="preserve">5.4 Self-Inflicted Bias and Model Specification</w:t>
      </w:r>
    </w:p>
    <w:p>
      <w:pPr>
        <w:pStyle w:val="Compact"/>
        <w:numPr>
          <w:ilvl w:val="0"/>
          <w:numId w:val="1022"/>
        </w:numPr>
      </w:pPr>
      <w:r>
        <w:t xml:space="preserve">Including</w:t>
      </w:r>
      <w:r>
        <w:t xml:space="preserve"> </w:t>
      </w:r>
      <w:r>
        <w:rPr>
          <w:b/>
          <w:bCs/>
        </w:rPr>
        <w:t xml:space="preserve">colliders</w:t>
      </w:r>
      <w:r>
        <w:t xml:space="preserve"> </w:t>
      </w:r>
      <w:r>
        <w:t xml:space="preserve">can cause systematic bias, even though colliders may be good predictors.</w:t>
      </w:r>
    </w:p>
    <w:p>
      <w:pPr>
        <w:pStyle w:val="Compact"/>
        <w:numPr>
          <w:ilvl w:val="0"/>
          <w:numId w:val="1022"/>
        </w:numPr>
      </w:pPr>
      <w:r>
        <w:t xml:space="preserve">Including</w:t>
      </w:r>
      <w:r>
        <w:t xml:space="preserve"> </w:t>
      </w:r>
      <w:r>
        <w:rPr>
          <w:b/>
          <w:bCs/>
        </w:rPr>
        <w:t xml:space="preserve">instruments</w:t>
      </w:r>
      <w:r>
        <w:t xml:space="preserve"> </w:t>
      </w:r>
      <w:r>
        <w:t xml:space="preserve">(Chapter 16) can amplify bias from unmeasured confounders.</w:t>
      </w:r>
    </w:p>
    <w:p>
      <w:pPr>
        <w:pStyle w:val="Compact"/>
        <w:numPr>
          <w:ilvl w:val="0"/>
          <w:numId w:val="1022"/>
        </w:numPr>
      </w:pPr>
      <w:r>
        <w:t xml:space="preserve">Chapter 18 returns to these issues.</w:t>
      </w:r>
    </w:p>
    <w:p>
      <w:pPr>
        <w:pStyle w:val="FirstParagraph"/>
      </w:pPr>
      <w:r>
        <w:t xml:space="preserve">Both propensity and structural models require a correctly specified functional form for the covariates (flexible terms such as cubic splines help),</w:t>
      </w:r>
      <w:r>
        <w:t xml:space="preserve"> </w:t>
      </w:r>
      <w:r>
        <w:t xml:space="preserve">plus exchangeability, positivity, and well-defined interventions.</w:t>
      </w:r>
      <w:r>
        <w:t xml:space="preserve"> </w:t>
      </w:r>
      <w:r>
        <w:t xml:space="preserve">Chapter 16 presents a method that does not require exchangeability of treatment.</w:t>
      </w:r>
    </w:p>
    <w:bookmarkEnd w:id="44"/>
    <w:bookmarkEnd w:id="45"/>
    <w:bookmarkStart w:id="4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316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Model used</w:t>
            </w:r>
          </w:p>
        </w:tc>
        <w:tc>
          <w:tcPr/>
          <w:p>
            <w:pPr>
              <w:pStyle w:val="Compact"/>
            </w:pPr>
            <w:r>
              <w:t xml:space="preserve">Requires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(faux MSM)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outcome model (nuisance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(SNM)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treatment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stratification / outcome regression on</w:t>
            </w:r>
            <w:r>
              <w:rPr>
                <w:b/>
                <w:bCs/>
              </w:rP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</w:p>
        </w:tc>
        <w:tc>
          <w:tcPr/>
          <w:p>
            <w:pPr>
              <w:pStyle w:val="Compact"/>
            </w:pPr>
            <w:r>
              <w:t xml:space="preserve">Correct propensity model and correct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standardization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  <w:tc>
          <w:tcPr/>
          <w:p>
            <w:pPr>
              <w:pStyle w:val="Compact"/>
            </w:pPr>
            <w:r>
              <w:t xml:space="preserve">as above; targets the population 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matching</w:t>
            </w:r>
          </w:p>
        </w:tc>
        <w:tc>
          <w:tcPr/>
          <w:p>
            <w:pPr>
              <w:pStyle w:val="Compact"/>
            </w:pP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propensity model; estimate refers to the matched population</w:t>
            </w:r>
          </w:p>
        </w:tc>
      </w:tr>
    </w:tbl>
    <w:p>
      <w:pPr>
        <w:pStyle w:val="BodyText"/>
      </w:pPr>
      <w:r>
        <w:t xml:space="preserve">NHEFS estimates of the effect of smoking cessation on weight gain (kg):</w:t>
      </w:r>
    </w:p>
    <w:p>
      <w:pPr>
        <w:pStyle w:val="Compact"/>
        <w:numPr>
          <w:ilvl w:val="0"/>
          <w:numId w:val="1023"/>
        </w:numPr>
      </w:pPr>
      <w:r>
        <w:t xml:space="preserve">outcome regression, no product terms: 3.5 (2.6, 4.3);</w:t>
      </w:r>
    </w:p>
    <w:p>
      <w:pPr>
        <w:pStyle w:val="Compact"/>
        <w:numPr>
          <w:ilvl w:val="0"/>
          <w:numId w:val="1023"/>
        </w:numPr>
      </w:pPr>
      <w:r>
        <w:t xml:space="preserve">propensity deciles, no product terms: 3.5 (2.6, 4.4);</w:t>
      </w:r>
    </w:p>
    <w:p>
      <w:pPr>
        <w:pStyle w:val="Compact"/>
        <w:numPr>
          <w:ilvl w:val="0"/>
          <w:numId w:val="1023"/>
        </w:numPr>
      </w:pPr>
      <w:r>
        <w:t xml:space="preserve">continuous propensity score: 3.6 (2.7, 4.5);</w:t>
      </w:r>
    </w:p>
    <w:p>
      <w:pPr>
        <w:pStyle w:val="Compact"/>
        <w:numPr>
          <w:ilvl w:val="0"/>
          <w:numId w:val="1023"/>
        </w:numPr>
      </w:pPr>
      <w:r>
        <w:t xml:space="preserve">standardized over the propensity score: 3.6 (2.7, 4.6).</w:t>
      </w:r>
    </w:p>
    <w:p>
      <w:pPr>
        <w:pStyle w:val="FirstParagraph"/>
      </w:pPr>
      <w:r>
        <w:rPr>
          <w:b/>
          <w:bCs/>
        </w:rPr>
        <w:t xml:space="preserve">Takeaways</w:t>
      </w:r>
      <w:r>
        <w:t xml:space="preserve"> </w:t>
      </w:r>
      <w:r>
        <w:t xml:space="preserve">(Hernán and Robins 2020, 199–208)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Outcome regression and propensity score methods need the same identifying conditions as the g-methods, plus correct nuisance models.</w:t>
      </w:r>
    </w:p>
    <w:p>
      <w:pPr>
        <w:pStyle w:val="Compact"/>
        <w:numPr>
          <w:ilvl w:val="0"/>
          <w:numId w:val="1024"/>
        </w:numPr>
      </w:pPr>
      <w:r>
        <w:t xml:space="preserve">The propensity score balances measured covariates only.</w:t>
      </w:r>
    </w:p>
    <w:p>
      <w:pPr>
        <w:pStyle w:val="Compact"/>
        <w:numPr>
          <w:ilvl w:val="0"/>
          <w:numId w:val="1024"/>
        </w:numPr>
      </w:pPr>
      <w:r>
        <w:t xml:space="preserve">Matching guarantees positivity automatically but can produce a target population that is hard to characterize;</w:t>
      </w:r>
      <w:r>
        <w:t xml:space="preserve"> </w:t>
      </w:r>
      <w:r>
        <w:t xml:space="preserve">restricting on real-world variables is preferable.</w:t>
      </w:r>
    </w:p>
    <w:p>
      <w:pPr>
        <w:pStyle w:val="Compact"/>
        <w:numPr>
          <w:ilvl w:val="0"/>
          <w:numId w:val="1024"/>
        </w:numPr>
      </w:pPr>
      <w:r>
        <w:t xml:space="preserve">Propensity models should include the variables needed for exchangeability, not the best predictors of treatment.</w:t>
      </w:r>
    </w:p>
    <w:p>
      <w:pPr>
        <w:pStyle w:val="Compact"/>
        <w:numPr>
          <w:ilvl w:val="0"/>
          <w:numId w:val="1024"/>
        </w:numPr>
      </w:pPr>
      <w:r>
        <w:t xml:space="preserve">Unlike the g-methods, these methods do not extend readily to time-varying treatments (Part III).</w:t>
      </w:r>
    </w:p>
    <w:bookmarkStart w:id="48" w:name="refs"/>
    <w:bookmarkStart w:id="4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hyperlink" Id="rId46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15: Outcome Regression and Propensity Scores</dc:title>
  <dc:creator/>
  <cp:keywords/>
  <dcterms:created xsi:type="dcterms:W3CDTF">2026-10-02T07:23:09Z</dcterms:created>
  <dcterms:modified xsi:type="dcterms:W3CDTF">2026-10-02T07:23:09Z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