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ins w:id="7" w:author="PR Preview" w:date="2024-01-01T00:00:00Z">
        <w:r>
          <w:t xml:space="preserve">A time-varying treatment needs time to be made explicit.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ins w:id="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ins w:id="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ins w:id="14" w:author="PR Preview" w:date="2024-01-01T00:00:00Z">
        <w:r>
          <w:t xml:space="preserve">The rules contrasted in</w:t>
        </w:r>
      </w:ins>
      <w:ins w:id="14" w:author="PR Preview" w:date="2024-01-01T00:00:00Z">
        <w:r>
          <w:t xml:space="preserve"> </w:t>
        </w:r>
      </w:ins>
      <w:hyperlink w:anchor="rem-effect-not-unique">
        <w:r>
          <w:rPr>
            <w:rStyle w:val="Hyperlink"/>
          </w:rPr>
          <w:t xml:space="preserve">Remark 2</w:t>
        </w:r>
      </w:hyperlink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are treatment strategies.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7" w:author="PR Preview" w:date="2024-01-01T00:00:00Z">
        <w:r>
          <w:t xml:space="preserve">Many other contrasts are possible.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ins w:id="20" w:author="PR Preview" w:date="2024-01-01T00:00:00Z">
        <w:r>
          <w:t xml:space="preserve">Fixed treatment sequences do not exhaust all strategies.</w:t>
        </w:r>
      </w:ins>
    </w:p>
    <w:p>
      <w:pPr>
        <w:pStyle w:val="BodyText"/>
      </w:pPr>
      <w:ins w:id="21" w:author="PR Preview" w:date="2024-01-01T00:00:00Z">
        <w:r>
          <w:t xml:space="preserve">The book writes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“at least</w:t>
        </w:r>
      </w:ins>
      <w:ins w:id="21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1" w:author="PR Preview" w:date="2024-01-01T00:00:00Z">
        <w:r>
          <w:t xml:space="preserve">”</w:t>
        </w:r>
      </w:ins>
      <w:ins w:id="21" w:author="PR Preview" w:date="2024-01-01T00:00:00Z">
        <w:r>
          <w:t xml:space="preserve">, a lower bound,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 uses</w:t>
        </w:r>
      </w:ins>
      <w:ins w:id="21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again when counting fixed sequences in Technical Point 19.3;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these notes write</w:t>
        </w:r>
      </w:ins>
      <w:ins w:id="21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throughout.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The point is only that the number grows exponentially with the length of follow-up.</w:t>
        </w:r>
      </w:ins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2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ins w:id="2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ins w:id="37" w:author="PR Preview" w:date="2024-01-01T00:00:00Z">
        <w:r>
          <w:t xml:space="preserve">For static strategies (</w:t>
        </w:r>
      </w:ins>
      <w:hyperlink w:anchor="def-dynamic-static">
        <w:r>
          <w:rPr>
            <w:rStyle w:val="Hyperlink"/>
          </w:rPr>
          <w:t xml:space="preserve">Definition 4</w:t>
        </w:r>
      </w:hyperlink>
      <w:ins w:id="37" w:author="PR Preview" w:date="2024-01-01T00:00:00Z">
        <w:r>
          <w:t xml:space="preserve">),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treatment assignment that depends only on past treatment is the time-varying generalization of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i/>
            <w:iCs/>
          </w:rPr>
          <w:t xml:space="preserve">no confounding by measured or unmeasured variables</w:t>
        </w:r>
      </w:ins>
      <w:ins w:id="3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38" w:author="PR Preview" w:date="2024-01-01T00:00:00Z">
        <w:r>
          <w:t xml:space="preserve">So under Figure 19.1 (where treatment is randomized at each time),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association is causation for static strategies: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the counterfactual mean under a static strategy</w:t>
        </w:r>
      </w:ins>
      <w:ins w:id="3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is the mean outcome among those who followed</w:t>
        </w:r>
      </w:ins>
      <w:ins w:id="3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(provided some individuals followed</w:t>
        </w:r>
      </w:ins>
      <w:ins w:id="3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38" w:author="PR Preview" w:date="2024-01-01T00:00:00Z">
        <w:r>
          <w:t xml:space="preserve">, and under consistency).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ins w:id="4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ins w:id="47" w:author="PR Preview" w:date="2024-01-01T00:00:00Z">
        <w:r>
          <w:t xml:space="preserve">If clinicians’ decisions at each month depend on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but on no unmeasured</w:t>
        </w:r>
      </w:ins>
      <w:ins w:id="47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ins w:id="47" w:author="PR Preview" w:date="2024-01-01T00:00:00Z">
        <w:r>
          <w:t xml:space="preserve">, the study is represented by Figure 19.2.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It then differs from a sequentially randomized experiment (</w:t>
        </w:r>
      </w:ins>
      <w:hyperlink w:anchor="def-seq-randomized">
        <w:r>
          <w:rPr>
            <w:rStyle w:val="Hyperlink"/>
          </w:rPr>
          <w:t xml:space="preserve">Definition 5</w:t>
        </w:r>
      </w:hyperlink>
      <w:ins w:id="47" w:author="PR Preview" w:date="2024-01-01T00:00:00Z">
        <w:r>
          <w:t xml:space="preserve">) only in that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assignment probabilities are unknown (though estimable from the data).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ins w:id="48" w:author="PR Preview" w:date="2024-01-01T00:00:00Z">
        <w:r>
          <w:t xml:space="preserve">Sequentially randomized experiments (</w:t>
        </w:r>
      </w:ins>
      <w:hyperlink w:anchor="def-seq-randomized">
        <w:r>
          <w:rPr>
            <w:rStyle w:val="Hyperlink"/>
          </w:rPr>
          <w:t xml:space="preserve">Definition 5</w:t>
        </w:r>
      </w:hyperlink>
      <w:ins w:id="48" w:author="PR Preview" w:date="2024-01-01T00:00:00Z">
        <w:r>
          <w:t xml:space="preserve">) are rarely run in practice,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but the concept clarifies the conditions needed for valid estimation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of the effects of time-varying treatments.</w:t>
        </w:r>
      </w:ins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ins w:id="52" w:author="PR Preview" w:date="2024-01-01T00:00:00Z">
        <w:r>
          <w:t xml:space="preserve">For a time-varying treatment we need conditional exchangeability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at each time</w:t>
        </w:r>
      </w:ins>
      <w:ins w:id="52" w:author="PR Preview" w:date="2024-01-01T00:00:00Z">
        <w:r>
          <w:t xml:space="preserve">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given the covariate history</w:t>
        </w:r>
      </w:ins>
      <w:ins w:id="52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5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ins w:id="105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ins w:id="58" w:author="PR Preview" w:date="2024-01-01T00:00:00Z">
        <w:r>
          <w:t xml:space="preserve">“This form of sequential exchangeability”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signals that there are others,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some weaker and some stronger.</w:t>
        </w:r>
      </w:ins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ins w:id="62" w:author="PR Preview" w:date="2024-01-01T00:00:00Z">
        <w:r>
          <w:t xml:space="preserve">Under Figure 19.1 (no arrows from</w:t>
        </w:r>
      </w:ins>
      <w:ins w:id="62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or</w:t>
        </w:r>
      </w:ins>
      <w:ins w:id="62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into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;</w:t>
        </w:r>
      </w:ins>
      <w:ins w:id="62" w:author="PR Preview" w:date="2024-01-01T00:00:00Z">
        <w:r>
          <w:t xml:space="preserve"> </w:t>
        </w:r>
      </w:ins>
      <w:hyperlink w:anchor="tbl-ch19-diagrams-arrows">
        <w:r>
          <w:rPr>
            <w:rStyle w:val="Hyperlink"/>
          </w:rPr>
          <w:t xml:space="preserve">Table 1</w:t>
        </w:r>
      </w:hyperlink>
      <w:ins w:id="62" w:author="PR Preview" w:date="2024-01-01T00:00:00Z">
        <w:r>
          <w:t xml:space="preserve">),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unconditional sequential exchangeability holds for every static strategy</w:t>
        </w:r>
      </w:ins>
      <w:ins w:id="6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6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ins w:id="6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ins w:id="6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ins w:id="75" w:author="PR Preview" w:date="2024-01-01T00:00:00Z">
        <w:r>
          <w:t xml:space="preserve">For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we list only some parents;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book’s figures give the complete diagrams.</w:t>
        </w:r>
      </w:ins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bookmarkStart w:id="62" w:name="alg-swig-static-strategy"/>
    <w:p>
      <w:pPr>
        <w:pStyle w:val="FirstParagraph"/>
      </w:pPr>
      <w:ins w:id="78" w:author="PR Preview" w:date="2024-01-01T00:00:00Z">
        <w:r>
          <w:rPr>
            <w:b/>
            <w:bCs/>
          </w:rPr>
          <w:t xml:space="preserve">Algorithm 1 (Building a SWIG for a static strategy)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Given a causal DAG and a static strategy</w:t>
        </w:r>
      </w:ins>
      <w:ins w:id="7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7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ins w:id="79" w:author="PR Preview" w:date="2024-01-01T00:00:00Z">
        <w:r>
          <w:t xml:space="preserve">Split each treatment node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into two halves.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The right half is the value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set by the intervention;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the left half is the treatment that would be observed after intervening on all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i/>
            <w:iCs/>
          </w:rPr>
          <w:t xml:space="preserve">earlier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treatments,</w:t>
        </w:r>
      </w:ins>
      <w:ins w:id="79" w:author="PR Preview" w:date="2024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k</m:t>
            </m:r>
          </m:sub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sup>
        </m:sSubSup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(for</w:t>
        </w:r>
      </w:ins>
      <w:ins w:id="7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79" w:author="PR Preview" w:date="2024-01-01T00:00:00Z">
        <w:r>
          <w:t xml:space="preserve">, simply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79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12"/>
        </w:numPr>
      </w:pPr>
      <w:ins w:id="80" w:author="PR Preview" w:date="2024-01-01T00:00:00Z">
        <w:r>
          <w:t xml:space="preserve">Rewire the arrows: arrows into a treatment point into its left half;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arrows out of a treatment leave from its right half.</w:t>
        </w:r>
      </w:ins>
    </w:p>
    <w:p>
      <w:pPr>
        <w:pStyle w:val="Compact"/>
        <w:numPr>
          <w:ilvl w:val="0"/>
          <w:numId w:val="1012"/>
        </w:numPr>
      </w:pPr>
      <w:ins w:id="81" w:author="PR Preview" w:date="2024-01-01T00:00:00Z">
        <w:r>
          <w:t xml:space="preserve">Relabel every descendant of a treatment node by its counterfactual,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with a superscript listing the interventions on the treatments that precede it: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 covariate</w:t>
        </w:r>
      </w:ins>
      <w:ins w:id="8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becomes</w:t>
        </w:r>
      </w:ins>
      <w:ins w:id="81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k</m:t>
            </m:r>
          </m:sub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sup>
        </m:sSubSup>
      </m:oMath>
      <w:ins w:id="81" w:author="PR Preview" w:date="2024-01-01T00:00:00Z">
        <w:r>
          <w:t xml:space="preserve">, and the outcome</w:t>
        </w:r>
      </w:ins>
      <w:ins w:id="81" w:author="PR Preview" w:date="2024-01-01T00:00:00Z">
        <w:r>
          <w:t xml:space="preserve"> </w:t>
        </w:r>
      </w:ins>
      <m:oMath>
        <m:r>
          <m:t>Y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becomes</w:t>
        </w:r>
      </w:ins>
      <w:ins w:id="8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81" w:author="PR Preview" w:date="2024-01-01T00:00:00Z">
        <w:r>
          <w:t xml:space="preserve">.</w:t>
        </w:r>
      </w:ins>
    </w:p>
    <w:bookmarkEnd w:id="62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ins w:id="8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ins w:id="8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ins w:id="8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ins w:id="90" w:author="PR Preview" w:date="2024-01-01T00:00:00Z">
        <w:r>
          <w:t xml:space="preserve">We write</w:t>
        </w:r>
      </w:ins>
      <w:ins w:id="90" w:author="PR Preview" w:date="2024-01-01T00:00:00Z">
        <w:r>
          <w:t xml:space="preserve"> </w:t>
        </w:r>
      </w:ins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(an underbar for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“from</w:t>
        </w:r>
      </w:ins>
      <w:ins w:id="90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onward”</w:t>
        </w:r>
      </w:ins>
      <w:ins w:id="90" w:author="PR Preview" w:date="2024-01-01T00:00:00Z">
        <w:r>
          <w:t xml:space="preserve">)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for the set of static strategies;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book’s typography for these symbols differs slightly.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In the dynamic version we write the conditioning history as</w:t>
        </w:r>
      </w:ins>
      <w:ins w:id="90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90" w:author="PR Preview" w:date="2024-01-01T00:00:00Z">
        <w:r>
          <w:t xml:space="preserve">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matching</w:t>
        </w:r>
      </w:ins>
      <w:ins w:id="90" w:author="PR Preview" w:date="2024-01-01T00:00:00Z">
        <w:r>
          <w:t xml:space="preserve"> </w:t>
        </w:r>
      </w:ins>
      <w:hyperlink w:anchor="def-seq-exchangeability">
        <w:r>
          <w:rPr>
            <w:rStyle w:val="Hyperlink"/>
          </w:rPr>
          <w:t xml:space="preserve">Definition 6</w:t>
        </w:r>
      </w:hyperlink>
      <w:ins w:id="9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ins w:id="9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ins w:id="97" w:author="PR Preview" w:date="2024-01-01T00:00:00Z">
        <w:r>
          <w:t xml:space="preserve">Another way to see the Figure 19.10 problem: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the distribution of</w:t>
        </w:r>
      </w:ins>
      <w:ins w:id="9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depends on that of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97" w:author="PR Preview" w:date="2024-01-01T00:00:00Z">
        <w:r>
          <w:t xml:space="preserve">, hence on that of</w:t>
        </w:r>
      </w:ins>
      <w:ins w:id="9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97" w:author="PR Preview" w:date="2024-01-01T00:00:00Z">
        <w:r>
          <w:t xml:space="preserve">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 the open path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means that</w:t>
        </w:r>
      </w:ins>
      <w:ins w:id="9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generically (under faithfulness) fails,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so the distribution of</w:t>
        </w:r>
      </w:ins>
      <w:ins w:id="9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cannot be read off the data among those with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97" w:author="PR Preview" w:date="2024-01-01T00:00:00Z">
        <w:r>
          <w:t xml:space="preserve">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the book concludes that it is not identified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(Hernán and Robins 2020, sec. 19.5)</w:t>
        </w:r>
      </w:ins>
      <w:ins w:id="97" w:author="PR Preview" w:date="2024-01-01T00:00:00Z">
        <w:r>
          <w:t xml:space="preserve">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Under a static strategy, no arrow from</w:t>
        </w:r>
      </w:ins>
      <w:ins w:id="9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into the treatment node feeds</w:t>
        </w:r>
      </w:ins>
      <w:ins w:id="97" w:author="PR Preview" w:date="2024-01-01T00:00:00Z">
        <w:r>
          <w:t xml:space="preserve"> </w:t>
        </w:r>
      </w:ins>
      <m:oMath>
        <m:r>
          <m:t>Y</m:t>
        </m:r>
      </m:oMath>
      <w:ins w:id="97" w:author="PR Preview" w:date="2024-01-01T00:00:00Z">
        <w:r>
          <w:t xml:space="preserve">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which is why static strategies remain identified under Figure 19.6.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ins w:id="101" w:author="PR Preview" w:date="2024-01-01T00:00:00Z">
        <w:r>
          <w:t xml:space="preserve">Why Figure 19.11 fails even for static strategies: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in its SWIG,</w:t>
        </w:r>
      </w:ins>
      <w:ins w:id="101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is now a cause of</w:t>
        </w:r>
      </w:ins>
      <w:ins w:id="10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01" w:author="PR Preview" w:date="2024-01-01T00:00:00Z">
        <w:r>
          <w:t xml:space="preserve">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so the path</w:t>
        </w:r>
      </w:ins>
      <w:ins w:id="10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is open,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and</w:t>
        </w:r>
      </w:ins>
      <w:ins w:id="10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generically (under faithfulness) fails;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conditioning on</w:t>
        </w:r>
      </w:ins>
      <w:ins w:id="10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to block it is not allowed at time 0,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because</w:t>
        </w:r>
      </w:ins>
      <w:ins w:id="10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comes after</w:t>
        </w:r>
      </w:ins>
      <w:ins w:id="10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1" w:author="PR Preview" w:date="2024-01-01T00:00:00Z">
        <w:r>
          <w:t xml:space="preserve">.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This explanation is ours; the book states only the conclusion.</w:t>
        </w:r>
      </w:ins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ins w:id="104" w:author="PR Preview" w:date="2024-01-01T00:00:00Z">
        <w:r>
          <w:t xml:space="preserve">These diagrams were drawn without selection (e.g., censoring) so as to focus on confounding.</w:t>
        </w:r>
      </w:ins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ins w:id="1108" w:author="PR Preview" w:date="2024-01-01T00:00:00Z">
        <w:r>
          <w:t xml:space="preserve">Now consider the long diagram over all times</w:t>
        </w:r>
      </w:ins>
      <w:ins w:id="110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08" w:author="PR Preview" w:date="2024-01-01T00:00:00Z">
        <w:r>
          <w:t xml:space="preserve">,</w:t>
        </w:r>
      </w:ins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in which each</w:t>
        </w:r>
      </w:ins>
      <w:ins w:id="110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affects later treatments</w:t>
        </w:r>
      </w:ins>
      <w:ins w:id="110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and shares unmeasured causes</w:t>
        </w:r>
      </w:ins>
      <w:ins w:id="110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with</w:t>
        </w:r>
      </w:ins>
      <w:ins w:id="1108" w:author="PR Preview" w:date="2024-01-01T00:00:00Z">
        <w:r>
          <w:t xml:space="preserve"> </w:t>
        </w:r>
      </w:ins>
      <m:oMath>
        <m:r>
          <m:t>Y</m:t>
        </m:r>
      </m:oMath>
      <w:ins w:id="1108" w:author="PR Preview" w:date="2024-01-01T00:00:00Z">
        <w:r>
          <w:t xml:space="preserve">.</w:t>
        </w:r>
      </w:ins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To estimate the effects of strategies defined by interventions on</w:t>
        </w:r>
      </w:ins>
      <w:ins w:id="110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08" w:author="PR Preview" w:date="2024-01-01T00:00:00Z">
        <w:r>
          <w:t xml:space="preserve">,</w:t>
        </w:r>
      </w:ins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we must condition at each</w:t>
        </w:r>
      </w:ins>
      <w:ins w:id="1108" w:author="PR Preview" w:date="2024-01-01T00:00:00Z">
        <w:r>
          <w:t xml:space="preserve"> </w:t>
        </w:r>
      </w:ins>
      <m:oMath>
        <m:r>
          <m:t>k</m:t>
        </m:r>
      </m:oMath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on the covariate history</w:t>
        </w:r>
      </w:ins>
      <w:ins w:id="1108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108" w:author="PR Preview" w:date="2024-01-01T00:00:00Z">
        <w:r>
          <w:t xml:space="preserve">, together with</w:t>
        </w:r>
      </w:ins>
      <w:ins w:id="1108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108" w:author="PR Preview" w:date="2024-01-01T00:00:00Z">
        <w:r>
          <w:t xml:space="preserve">,</w:t>
        </w:r>
      </w:ins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to block the backdoor paths between</w:t>
        </w:r>
      </w:ins>
      <w:ins w:id="110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108" w:author="PR Preview" w:date="2024-01-01T00:00:00Z">
        <w:r>
          <w:t xml:space="preserve"> </w:t>
        </w:r>
      </w:ins>
      <w:ins w:id="1108" w:author="PR Preview" w:date="2024-01-01T00:00:00Z">
        <w:r>
          <w:t xml:space="preserve">and</w:t>
        </w:r>
      </w:ins>
      <w:ins w:id="1108" w:author="PR Preview" w:date="2024-01-01T00:00:00Z">
        <w:r>
          <w:t xml:space="preserve"> </w:t>
        </w:r>
      </w:ins>
      <m:oMath>
        <m:r>
          <m:t>Y</m:t>
        </m:r>
      </m:oMath>
      <w:ins w:id="1108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ins w:id="115" w:author="PR Preview" w:date="2024-01-01T00:00:00Z">
        <w:r>
          <w:t xml:space="preserve">Strategies are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static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(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15" w:author="PR Preview" w:date="2024-01-01T00:00:00Z">
        <w:r>
          <w:t xml:space="preserve">, not depending on covariates)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or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dynamic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(</w:t>
        </w:r>
      </w:ins>
      <m:oMath>
        <m:r>
          <m:t>g</m:t>
        </m:r>
      </m:oMath>
      <w:ins w:id="115" w:author="PR Preview" w:date="2024-01-01T00:00:00Z">
        <w:r>
          <w:t xml:space="preserve">, depending on the evolving</w:t>
        </w:r>
      </w:ins>
      <w:ins w:id="115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15" w:author="PR Preview" w:date="2024-01-01T00:00:00Z">
        <w:r>
          <w:t xml:space="preserve">) (</w:t>
        </w:r>
      </w:ins>
      <w:hyperlink w:anchor="def-dynamic-static">
        <w:r>
          <w:rPr>
            <w:rStyle w:val="Hyperlink"/>
          </w:rPr>
          <w:t xml:space="preserve">Definition 4</w:t>
        </w:r>
      </w:hyperlink>
      <w:ins w:id="115" w:author="PR Preview" w:date="2024-01-01T00:00:00Z">
        <w:r>
          <w:t xml:space="preserve">),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deterministic or random.</w:t>
        </w:r>
      </w:ins>
    </w:p>
    <w:p>
      <w:pPr>
        <w:pStyle w:val="Compact"/>
        <w:numPr>
          <w:ilvl w:val="0"/>
          <w:numId w:val="1025"/>
        </w:numPr>
      </w:pPr>
      <w:ins w:id="116" w:author="PR Preview" w:date="2024-01-01T00:00:00Z">
        <w:r>
          <w:t xml:space="preserve">In a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rPr>
            <w:b/>
            <w:bCs/>
          </w:rPr>
          <w:t xml:space="preserve">sequentially randomized experiment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(</w:t>
        </w:r>
      </w:ins>
      <w:hyperlink w:anchor="def-seq-randomized">
        <w:r>
          <w:rPr>
            <w:rStyle w:val="Hyperlink"/>
          </w:rPr>
          <w:t xml:space="preserve">Definition 5</w:t>
        </w:r>
      </w:hyperlink>
      <w:ins w:id="116" w:author="PR Preview" w:date="2024-01-01T00:00:00Z">
        <w:r>
          <w:t xml:space="preserve">), treatment at each</w:t>
        </w:r>
      </w:ins>
      <w:ins w:id="116" w:author="PR Preview" w:date="2024-01-01T00:00:00Z">
        <w:r>
          <w:t xml:space="preserve"> </w:t>
        </w:r>
      </w:ins>
      <m:oMath>
        <m:r>
          <m:t>k</m:t>
        </m:r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is randomized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given</w:t>
        </w:r>
      </w:ins>
      <w:ins w:id="11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116" w:author="PR Preview" w:date="2024-01-01T00:00:00Z">
        <w:r>
          <w:t xml:space="preserve">;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such randomization implies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rPr>
            <w:b/>
            <w:bCs/>
          </w:rPr>
          <w:t xml:space="preserve">sequential exchangeability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(</w:t>
        </w:r>
      </w:ins>
      <w:hyperlink w:anchor="def-seq-exchangeability">
        <w:r>
          <w:rPr>
            <w:rStyle w:val="Hyperlink"/>
          </w:rPr>
          <w:t xml:space="preserve">Definition 6</w:t>
        </w:r>
      </w:hyperlink>
      <w:ins w:id="116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5"/>
        </w:numPr>
      </w:pPr>
      <w:ins w:id="117" w:author="PR Preview" w:date="2024-01-01T00:00:00Z">
        <w:r>
          <w:t xml:space="preserve">Identification of all strategies is guaranteed by sequential exchangeability, sequential positivity, and consistency.</w:t>
        </w:r>
      </w:ins>
    </w:p>
    <w:p>
      <w:pPr>
        <w:pStyle w:val="Compact"/>
        <w:numPr>
          <w:ilvl w:val="0"/>
          <w:numId w:val="1025"/>
        </w:numPr>
      </w:pPr>
      <w:ins w:id="118" w:author="PR Preview" w:date="2024-01-01T00:00:00Z">
        <w:r>
          <w:rPr>
            <w:b/>
            <w:bCs/>
          </w:rPr>
          <w:t xml:space="preserve">Static sequential exchangeability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</w:t>
        </w:r>
      </w:ins>
      <w:hyperlink w:anchor="def-static-seq-exchangeability">
        <w:r>
          <w:rPr>
            <w:rStyle w:val="Hyperlink"/>
          </w:rPr>
          <w:t xml:space="preserve">Definition 8</w:t>
        </w:r>
      </w:hyperlink>
      <w:ins w:id="118" w:author="PR Preview" w:date="2024-01-01T00:00:00Z">
        <w:r>
          <w:t xml:space="preserve">) is weaker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and identifies only static strategies;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SWIGs show when a diagram (e.g., Figure 19.6) supports static but not dynamic strategies.</w:t>
        </w:r>
      </w:ins>
    </w:p>
    <w:p>
      <w:pPr>
        <w:pStyle w:val="Compact"/>
        <w:numPr>
          <w:ilvl w:val="0"/>
          <w:numId w:val="1025"/>
        </w:numPr>
      </w:pPr>
      <w:ins w:id="119" w:author="PR Preview" w:date="2024-01-01T00:00:00Z">
        <w:r>
          <w:rPr>
            <w:b/>
            <w:bCs/>
          </w:rPr>
          <w:t xml:space="preserve">Time-varying confounders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are covariates</w:t>
        </w:r>
      </w:ins>
      <w:ins w:id="119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needed at each time to block backdoor paths;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Chapter 20 explains why conventional methods may fail to adjust for them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when there is treatment-confounder feedback.</w:t>
        </w:r>
      </w:ins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2026-10-02T19:07:08Z</dcterms:created>
  <dcterms:modified xsi:type="dcterms:W3CDTF">2026-10-02T19:07:08Z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