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t xml:space="preserve">a time-varying confounder can drive later treatment</w:t>
      </w:r>
      <w:r>
        <w:t xml:space="preserve"> </w:t>
      </w:r>
      <w:r>
        <w:t xml:space="preserve">while itself being affected by earlier treatment,</w:t>
      </w:r>
      <w:r>
        <w:t xml:space="preserve"> </w:t>
      </w:r>
      <w:r>
        <w:t xml:space="preserve">or while sharing with earlier treatment a cause outside that treatment’s measured past,</w:t>
      </w:r>
      <w:r>
        <w:t xml:space="preserve"> </w:t>
      </w:r>
      <w:r>
        <w:t xml:space="preserve">through a path that conditioning on that measured past does not block.</w:t>
      </w:r>
      <w:r>
        <w:t xml:space="preserve"> </w:t>
      </w:r>
      <w:r>
        <w:t xml:space="preserve">When that happens,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the problem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through a path that conditioning on that measured past does not block,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r>
        <w:t xml:space="preserve">The book’s one-line description is the effect form (a directed path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):</w:t>
      </w:r>
      <w:r>
        <w:t xml:space="preserve"> </w:t>
      </w:r>
      <w:r>
        <w:t xml:space="preserve">“the confounder affects the treatment and the treatment affects the confounder”</w:t>
      </w:r>
      <w:r>
        <w:t xml:space="preserve"> </w:t>
      </w:r>
      <w:r>
        <w:t xml:space="preserve">(Hernán and Robins 2020, 267)</w:t>
      </w:r>
      <w:r>
        <w:t xml:space="preserve">.</w:t>
      </w:r>
      <w:r>
        <w:t xml:space="preserve"> </w:t>
      </w:r>
      <w:r>
        <w:t xml:space="preserve">The book gives the same name to the case in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(its Figures 20.4 and 20.6),</w:t>
      </w:r>
      <w:r>
        <w:t xml:space="preserve"> </w:t>
      </w:r>
      <w:r>
        <w:t xml:space="preserve">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produces the same bias in that case as in the effect form;</w:t>
      </w:r>
      <w:r>
        <w:t xml:space="preserve"> </w:t>
      </w:r>
      <w:r>
        <w:t xml:space="preserve">the observed data also cannot tell the two cases apart</w:t>
      </w:r>
      <w:r>
        <w:t xml:space="preserve"> </w:t>
      </w:r>
      <w:r>
        <w:t xml:space="preserve">(Hernán and Robins 2020, 269 and 272)</w:t>
      </w:r>
      <w:r>
        <w:t xml:space="preserve">.</w:t>
      </w:r>
      <w:r>
        <w:t xml:space="preserve"> </w:t>
      </w:r>
      <w:r>
        <w:t xml:space="preserve">The second clause of</w:t>
      </w:r>
      <w:r>
        <w:t xml:space="preserve"> 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covers that case only.</w:t>
      </w:r>
      <w:r>
        <w:t xml:space="preserve"> </w:t>
      </w:r>
      <w:r>
        <w:t xml:space="preserve">It excludes a common cause in the measured past,</w:t>
      </w:r>
      <w:r>
        <w:t xml:space="preserve"> </w:t>
      </w:r>
      <w:r>
        <w:t xml:space="preserve">such as an earlier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 affects both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r>
        <w:t xml:space="preserve">otherwise almost every persistent confounder would count as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null.</w:t>
      </w:r>
      <w:r>
        <w:t xml:space="preserve"> </w:t>
      </w:r>
      <w:r>
        <w:t xml:space="preserve">Each null taken alone does not establish the joint null for the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g-null theorem of Technical Point 20.1 does not apply directly,</w:t>
      </w:r>
      <w:r>
        <w:t xml:space="preserve"> </w:t>
      </w:r>
      <w:r>
        <w:t xml:space="preserve">because its premise is conditional independence</w:t>
      </w:r>
      <w:r>
        <w:t xml:space="preserve"> </w:t>
      </w:r>
      <w:r>
        <w:t xml:space="preserve">and the examples check only conditional means.</w:t>
      </w:r>
      <w:r>
        <w:t xml:space="preserve"> </w:t>
      </w:r>
      <w:r>
        <w:t xml:space="preserve">The mean joint null says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is the same for every static strategy.</w:t>
      </w:r>
      <w:r>
        <w:t xml:space="preserve"> </w:t>
      </w:r>
      <w:r>
        <w:t xml:space="preserve">The equal conditional means of</w:t>
      </w:r>
      <w:r>
        <w:t xml:space="preserve"> </w:t>
      </w:r>
      <w:hyperlink w:anchor="exm-no-effect-a1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no-effect-a0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are enough for it,</w:t>
      </w:r>
      <w:r>
        <w:t xml:space="preserve"> </w:t>
      </w:r>
      <w:r>
        <w:t xml:space="preserve">as computing the mean outcome under each static strategy with the g-formula shows.</w:t>
      </w:r>
      <w:r>
        <w:t xml:space="preserve"> </w:t>
      </w:r>
      <w:r>
        <w:t xml:space="preserve">That computation uses all three identifiability conditions (</w:t>
      </w:r>
      <w:hyperlink w:anchor="rem-identifiability-by-design">
        <w:r>
          <w:rPr>
            <w:rStyle w:val="Hyperlink"/>
          </w:rPr>
          <w:t xml:space="preserve">Remark 4</w:t>
        </w:r>
      </w:hyperlink>
      <w:r>
        <w:t xml:space="preserve">):</w:t>
      </w:r>
      <w:r>
        <w:t xml:space="preserve"> </w:t>
      </w:r>
      <w:r>
        <w:t xml:space="preserve">sequential exchangeability (unconditionally for the randomized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and 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positivity, and consistency.</w:t>
      </w:r>
      <w:r>
        <w:t xml:space="preserve"> </w:t>
      </w:r>
      <w:r>
        <w:t xml:space="preserve">Under these conditions,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the cell means do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so for either value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and in particular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r>
        <w:t xml:space="preserve">Suppose the target is the short-term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short-term-effec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treating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time-fixed treatment.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(</w:t>
      </w:r>
      <w:hyperlink w:anchor="def-treatment-confounder-feedback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and, for some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), either is affected by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or shares with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 cause outside the measured past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through a path that conditioning on that measured past does not block.</w: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hiv-feedback-tri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Conventional outcome regression (reading the effect off treatment coefficients in a model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83"/>
    <w:bookmarkStart w:id="85" w:name="ref-robins1987addendum"/>
    <w:p>
      <w:pPr>
        <w:pStyle w:val="Bibliography"/>
      </w:pPr>
      <w:r>
        <w:t xml:space="preserve">Robins, James M. 1987.</w:t>
      </w:r>
      <w:r>
        <w:t xml:space="preserve"> </w:t>
      </w:r>
      <w:r>
        <w:t xml:space="preserve">“Addendum to</w:t>
      </w:r>
      <w:r>
        <w:t xml:space="preserve"> </w:t>
      </w:r>
      <w:r>
        <w:t xml:space="preserve">‘a New Approach to Causal Inference in Mortality Studies with a Sustained Exposure Period – Application to Control of the Healthy Worker Survivor Effect’</w:t>
      </w:r>
      <w:r>
        <w:t xml:space="preserve">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923–45.</w:t>
      </w:r>
      <w:r>
        <w:t xml:space="preserve"> </w:t>
      </w:r>
      <w:hyperlink r:id="rId84">
        <w:r>
          <w:rPr>
            <w:rStyle w:val="Hyperlink"/>
          </w:rPr>
          <w:t xml:space="preserve">https://doi.org/10.1016/0898-1221(87)90238-0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2026-10-08T07:14:06Z</dcterms:created>
  <dcterms:modified xsi:type="dcterms:W3CDTF">2026-10-08T07:14:06Z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