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37"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ins w:id="21" w:author="PR Preview" w:date="2024-01-01T00:00:00Z">
        <w:r>
          <w:t xml:space="preserve">IP weighting creates a pseudo-population in which the arrow from</w:t>
        </w:r>
      </w:ins>
      <w:ins w:id="21" w:author="PR Preview" w:date="2024-01-01T00:00:00Z">
        <w:r>
          <w:t xml:space="preserve"> </w:t>
        </w:r>
      </w:ins>
      <m:oMath>
        <m:r>
          <m:t>L</m:t>
        </m:r>
      </m:oMath>
      <w:ins w:id="21" w:author="PR Preview" w:date="2024-01-01T00:00:00Z">
        <w:r>
          <w:t xml:space="preserve"> </w:t>
        </w:r>
      </w:ins>
      <w:ins w:id="21" w:author="PR Preview" w:date="2024-01-01T00:00:00Z">
        <w:r>
          <w:t xml:space="preserve">to</w:t>
        </w:r>
      </w:ins>
      <w:ins w:id="21" w:author="PR Preview" w:date="2024-01-01T00:00:00Z">
        <w:r>
          <w:t xml:space="preserve"> </w:t>
        </w:r>
      </w:ins>
      <m:oMath>
        <m:r>
          <m:t>A</m:t>
        </m:r>
      </m:oMath>
      <w:ins w:id="21" w:author="PR Preview" w:date="2024-01-01T00:00:00Z">
        <w:r>
          <w:t xml:space="preserve"> </w:t>
        </w:r>
      </w:ins>
      <w:ins w:id="21" w:author="PR Preview" w:date="2024-01-01T00:00:00Z">
        <w:r>
          <w:t xml:space="preserve">is removed.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prp-pseudo-population"/>
          <w:p>
            <w:pPr>
              <w:pStyle w:val="BodyText"/>
            </w:pPr>
            <w:r>
              <w:rPr>
                <w:b/>
                <w:bCs/>
              </w:rPr>
              <w:t xml:space="preserve">Proposition 1 (Properties of the IP Weighted Pseudo-Population)</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bookmarkEnd w:id="22"/>
        </w:tc>
      </w:tr>
    </w:tbl>
    <w:p>
      <w:r>
        <w:pict>
          <v:rect style="width:0;height:1.5pt" o:hralign="center" o:hrstd="t" o:hr="t"/>
        </w:pict>
      </w:r>
    </w:p>
    <w:bookmarkStart w:id="24"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3"/>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24"/>
    <w:bookmarkStart w:id="26"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5"/>
        </w:tc>
      </w:tr>
    </w:tbl>
    <w:p>
      <w:r>
        <w:pict>
          <v:rect style="width:0;height:1.5pt" o:hralign="center" o:hrstd="t" o:hr="t"/>
        </w:pict>
      </w:r>
    </w:p>
    <w:bookmarkEnd w:id="26"/>
    <w:bookmarkStart w:id="28" w:name="the-treatment-model"/>
    <w:p>
      <w:pPr>
        <w:pStyle w:val="Heading3"/>
      </w:pPr>
      <w:r>
        <w:t xml:space="preserve">2.3 The Treatment Model</w:t>
      </w:r>
    </w:p>
    <w:bookmarkStart w:id="27" w:name="alg-estimate-ip-weights"/>
    <w:p>
      <w:pPr>
        <w:pStyle w:val="FirstParagraph"/>
      </w:pPr>
      <w:ins w:id="1029" w:author="PR Preview" w:date="2024-01-01T00:00:00Z">
        <w:r>
          <w:rPr>
            <w:b/>
            <w:bCs/>
          </w:rPr>
          <w:t xml:space="preserve">Algorithm 1 (Estimating IP Weights with a Treatment Model)</w:t>
        </w:r>
      </w:ins>
      <w:ins w:id="1029" w:author="PR Preview" w:date="2024-01-01T00:00:00Z">
        <w:r>
          <w:t xml:space="preserve"> </w:t>
        </w:r>
      </w:ins>
      <w:ins w:id="1029" w:author="PR Preview" w:date="2024-01-01T00:00:00Z">
        <w:r>
          <w:t xml:space="preserve"> </w:t>
        </w:r>
      </w:ins>
    </w:p>
    <w:p>
      <w:pPr>
        <w:numPr>
          <w:ilvl w:val="0"/>
          <w:numId w:val="1008"/>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09"/>
        </w:numPr>
      </w:pPr>
      <w:r>
        <w:t xml:space="preserve">linear and quadratic terms for the (quasi-)continuous covariates age, weight, intensity of smoking, and duration of smoking;</w:t>
      </w:r>
    </w:p>
    <w:p>
      <w:pPr>
        <w:pStyle w:val="Compact"/>
        <w:numPr>
          <w:ilvl w:val="1"/>
          <w:numId w:val="1009"/>
        </w:numPr>
      </w:pPr>
      <w:r>
        <w:t xml:space="preserve">no product terms between covariates.</w:t>
      </w:r>
    </w:p>
    <w:p>
      <w:pPr>
        <w:numPr>
          <w:ilvl w:val="0"/>
          <w:numId w:val="1008"/>
        </w:numPr>
      </w:pPr>
      <w:ins w:id="33" w:author="PR Preview" w:date="2024-01-01T00:00:00Z">
        <w:r>
          <w:t xml:space="preserve">For each individual, compute</w:t>
        </w:r>
      </w:ins>
    </w:p>
    <w:p>
      <w:pPr>
        <w:pStyle w:val="Compact"/>
        <w:numPr>
          <w:ilvl w:val="1"/>
          <w:numId w:val="1010"/>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0"/>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35" w:author="PR Preview" w:date="2024-01-01T00:00:00Z">
        <w:r>
          <w:t xml:space="preserve"> </w:t>
        </w:r>
      </w:ins>
      <w:ins w:id="35" w:author="PR Preview" w:date="2024-01-01T00:00:00Z">
        <w:r>
          <w:t xml:space="preserve">if</w:t>
        </w:r>
      </w:ins>
      <w:ins w:id="35" w:author="PR Preview" w:date="2024-01-01T00:00:00Z">
        <w:r>
          <w:t xml:space="preserve"> </w:t>
        </w:r>
      </w:ins>
      <m:oMath>
        <m:r>
          <m:t>A</m:t>
        </m:r>
        <m:r>
          <m:rPr>
            <m:sty m:val="p"/>
          </m:rPr>
          <m:t>=</m:t>
        </m:r>
        <m:r>
          <m:t>0</m:t>
        </m:r>
      </m:oMath>
      <w:ins w:id="35" w:author="PR Preview" w:date="2024-01-01T00:00:00Z">
        <w:r>
          <w:t xml:space="preserve">.</w:t>
        </w:r>
      </w:ins>
    </w:p>
    <w:p>
      <w:pPr>
        <w:numPr>
          <w:ilvl w:val="0"/>
          <w:numId w:val="1008"/>
        </w:numPr>
      </w:pPr>
      <w:ins w:id="36" w:author="PR Preview" w:date="2024-01-01T00:00:00Z">
        <w:r>
          <w:t xml:space="preserve">Set</w:t>
        </w:r>
      </w:ins>
      <w:ins w:id="36" w:author="PR Preview" w:date="2024-01-01T00:00:00Z">
        <w:r>
          <w:t xml:space="preserve"> </w:t>
        </w:r>
      </w:ins>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ins w:id="36" w:author="PR Preview" w:date="2024-01-01T00:00:00Z">
        <w:r>
          <w:t xml:space="preserve">.</w:t>
        </w:r>
      </w:ins>
    </w:p>
    <w:bookmarkEnd w:id="27"/>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8"/>
    <w:bookmarkStart w:id="31"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42" w:author="PR Preview" w:date="2024-01-01T00:00:00Z">
        <w:r>
          <w:t xml:space="preserve">by weighted least squares with weights</w:t>
        </w:r>
      </w:ins>
      <w:ins w:id="42" w:author="PR Preview" w:date="2024-01-01T00:00:00Z">
        <w:r>
          <w:t xml:space="preserve"> </w:t>
        </w:r>
      </w:ins>
      <m:oMath>
        <m:sSup>
          <m:e>
            <m:acc>
              <m:accPr>
                <m:chr m:val="̂"/>
              </m:accPr>
              <m:e>
                <m:r>
                  <m:t>W</m:t>
                </m:r>
              </m:e>
            </m:acc>
          </m:e>
          <m:sup>
            <m:r>
              <m:t>A</m:t>
            </m:r>
          </m:sup>
        </m:sSup>
      </m:oMath>
      <w:ins w:id="42"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weighted-least-squares"/>
          <w:p>
            <w:pPr>
              <w:pStyle w:val="BodyText"/>
            </w:pPr>
            <w:r>
              <w:rPr>
                <w:b/>
                <w:bCs/>
              </w:rPr>
              <w:t xml:space="preserve">Definition 2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29"/>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m-nhefs-ipw"/>
          <w:p>
            <w:pPr>
              <w:pStyle w:val="BodyText"/>
            </w:pPr>
            <w:r>
              <w:rPr>
                <w:b/>
                <w:bCs/>
              </w:rPr>
              <w:t xml:space="preserve">Example 4 (NHEFS: Nonstabilized IP Weighting)</w:t>
            </w:r>
            <w:r>
              <w:t xml:space="preserve"> </w:t>
            </w:r>
            <w:r>
              <w:t xml:space="preserve"> </w:t>
            </w:r>
          </w:p>
          <w:p>
            <w:pPr>
              <w:pStyle w:val="Compact"/>
              <w:numPr>
                <w:ilvl w:val="0"/>
                <w:numId w:val="1011"/>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1"/>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1"/>
              </w:numPr>
            </w:pPr>
            <w:r>
              <w:t xml:space="preserve">Conservative 95% confidence interval: (2.4, 4.5).</w:t>
            </w:r>
          </w:p>
          <w:p>
            <w:pPr>
              <w:pStyle w:val="FirstParagraph"/>
            </w:pPr>
            <w:r>
              <w:t xml:space="preserve">Compare with the unadjusted difference of 2.5 kg.</w:t>
            </w:r>
          </w:p>
          <w:bookmarkEnd w:id="30"/>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31"/>
    <w:bookmarkStart w:id="36"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2"/>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2"/>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2"/>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2"/>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ht-hajek"/>
          <w:p>
            <w:pPr>
              <w:pStyle w:val="BodyText"/>
            </w:pPr>
            <w:r>
              <w:rPr>
                <w:b/>
                <w:bCs/>
              </w:rPr>
              <w:t xml:space="preserve">Definition 3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3"/>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3"/>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5"/>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6"/>
    <w:bookmarkEnd w:id="37"/>
    <w:bookmarkStart w:id="50"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rem-other-weights"/>
          <w:p>
            <w:pPr>
              <w:pStyle w:val="BodyText"/>
            </w:pPr>
            <w:r>
              <w:rPr>
                <w:i/>
                <w:iCs/>
              </w:rPr>
              <w:t xml:space="preserve">Remark 3</w:t>
            </w:r>
            <w:r>
              <w:t xml:space="preserve"> (Other Weights Give the Same Pseudo-Population Contrast). </w:t>
            </w:r>
          </w:p>
          <w:p>
            <w:pPr>
              <w:pStyle w:val="Compact"/>
              <w:numPr>
                <w:ilvl w:val="0"/>
                <w:numId w:val="1014"/>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4"/>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4"/>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38"/>
        </w:tc>
      </w:tr>
    </w:tbl>
    <w:p>
      <w:r>
        <w:pict>
          <v:rect style="width:0;height:1.5pt" o:hralign="center" o:hrstd="t" o:hr="t"/>
        </w:pict>
      </w:r>
    </w:p>
    <w:bookmarkStart w:id="40"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39"/>
        </w:tc>
      </w:tr>
    </w:tbl>
    <w:p>
      <w:pPr>
        <w:pStyle w:val="BodyText"/>
      </w:pPr>
      <w:ins w:id="64"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0"/>
    <w:bookmarkStart w:id="42"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def-stabilized-weights"/>
          <w:p>
            <w:pPr>
              <w:pStyle w:val="BodyText"/>
            </w:pPr>
            <w:r>
              <w:rPr>
                <w:b/>
                <w:bCs/>
              </w:rPr>
              <w:t xml:space="preserve">Definition 4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5"/>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5"/>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1"/>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2"/>
    <w:bookmarkStart w:id="45" w:name="estimation"/>
    <w:p>
      <w:pPr>
        <w:pStyle w:val="Heading3"/>
      </w:pPr>
      <w:r>
        <w:t xml:space="preserve">3.3 Estimation</w:t>
      </w:r>
    </w:p>
    <w:bookmarkStart w:id="43" w:name="alg-estimate-stabilized-weights"/>
    <w:p>
      <w:pPr>
        <w:pStyle w:val="FirstParagraph"/>
      </w:pPr>
      <w:ins w:id="1073" w:author="PR Preview" w:date="2024-01-01T00:00:00Z">
        <w:r>
          <w:rPr>
            <w:b/>
            <w:bCs/>
          </w:rPr>
          <w:t xml:space="preserve">Algorithm 2 (Estimating Stabilized IP Weights)</w:t>
        </w:r>
      </w:ins>
      <w:ins w:id="1073" w:author="PR Preview" w:date="2024-01-01T00:00:00Z">
        <w:r>
          <w:t xml:space="preserve"> </w:t>
        </w:r>
      </w:ins>
      <w:ins w:id="1073" w:author="PR Preview" w:date="2024-01-01T00:00:00Z">
        <w:r>
          <w:t xml:space="preserve"> </w:t>
        </w:r>
      </w:ins>
    </w:p>
    <w:p>
      <w:pPr>
        <w:pStyle w:val="Compact"/>
        <w:numPr>
          <w:ilvl w:val="0"/>
          <w:numId w:val="1016"/>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6"/>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6"/>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3"/>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exm-nhefs-sw"/>
          <w:p>
            <w:pPr>
              <w:pStyle w:val="BodyText"/>
            </w:pPr>
            <w:r>
              <w:rPr>
                <w:b/>
                <w:bCs/>
              </w:rPr>
              <w:t xml:space="preserve">Example 5 (NHEFS: Stabilized IP Weighting)</w:t>
            </w:r>
            <w:r>
              <w:t xml:space="preserve"> </w:t>
            </w:r>
            <w:r>
              <w:t xml:space="preserve"> </w:t>
            </w:r>
          </w:p>
          <w:p>
            <w:pPr>
              <w:pStyle w:val="Compact"/>
              <w:numPr>
                <w:ilvl w:val="0"/>
                <w:numId w:val="1017"/>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7"/>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4"/>
        </w:tc>
      </w:tr>
    </w:tbl>
    <w:p>
      <w:r>
        <w:pict>
          <v:rect style="width:0;height:1.5pt" o:hralign="center" o:hrstd="t" o:hr="t"/>
        </w:pict>
      </w:r>
    </w:p>
    <w:bookmarkEnd w:id="45"/>
    <w:bookmarkStart w:id="49"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8"/>
              </w:numPr>
            </w:pPr>
            <w:r>
              <w:t xml:space="preserve">Stabilized weights typically give</w:t>
            </w:r>
            <w:r>
              <w:t xml:space="preserve"> </w:t>
            </w:r>
            <w:r>
              <w:rPr>
                <w:b/>
                <w:bCs/>
              </w:rPr>
              <w:t xml:space="preserve">narrower confidence intervals</w:t>
            </w:r>
            <w:r>
              <w:t xml:space="preserve">.</w:t>
            </w:r>
          </w:p>
          <w:p>
            <w:pPr>
              <w:pStyle w:val="Compact"/>
              <w:numPr>
                <w:ilvl w:val="0"/>
                <w:numId w:val="1018"/>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8"/>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8"/>
              </w:numPr>
            </w:pPr>
            <w:r>
              <w:t xml:space="preserve">With time-varying or continuous treatments the weighted model cannot be saturated, and stabilized weights are used (Section 12.4).</w:t>
            </w:r>
          </w:p>
          <w:bookmarkEnd w:id="46"/>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9"/>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9"/>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0"/>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0"/>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49"/>
    <w:bookmarkEnd w:id="50"/>
    <w:bookmarkStart w:id="70"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 w:name="def-msm"/>
          <w:p>
            <w:pPr>
              <w:pStyle w:val="BodyText"/>
            </w:pPr>
            <w:r>
              <w:rPr>
                <w:b/>
                <w:bCs/>
              </w:rPr>
              <w:t xml:space="preserve">Definition 5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1"/>
        </w:tc>
      </w:tr>
    </w:tbl>
    <w:p>
      <w:pPr>
        <w:pStyle w:val="BodyText"/>
      </w:pPr>
      <w:ins w:id="8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2"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5</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2"/>
        </w:tc>
      </w:tr>
    </w:tbl>
    <w:p>
      <w:pPr>
        <w:pStyle w:val="FirstParagraph"/>
      </w:pPr>
      <w:ins w:id="83"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3" w:name="alg-fit-msm-ipw"/>
    <w:p>
      <w:pPr>
        <w:pStyle w:val="FirstParagraph"/>
      </w:pPr>
      <w:ins w:id="86" w:author="PR Preview" w:date="2024-01-01T00:00:00Z">
        <w:r>
          <w:rPr>
            <w:b/>
            <w:bCs/>
          </w:rPr>
          <w:t xml:space="preserve">Algorithm 3 (Fitting a Marginal Structural Model by IP Weighting)</w:t>
        </w:r>
      </w:ins>
      <w:ins w:id="86" w:author="PR Preview" w:date="2024-01-01T00:00:00Z">
        <w:r>
          <w:t xml:space="preserve"> </w:t>
        </w:r>
      </w:ins>
      <w:ins w:id="86" w:author="PR Preview" w:date="2024-01-01T00:00:00Z">
        <w:r>
          <w:t xml:space="preserve"> </w:t>
        </w:r>
      </w:ins>
    </w:p>
    <w:p>
      <w:pPr>
        <w:pStyle w:val="Compact"/>
        <w:numPr>
          <w:ilvl w:val="0"/>
          <w:numId w:val="1021"/>
        </w:numPr>
      </w:pPr>
      <w:r>
        <w:t xml:space="preserve">Use IP weights to create a pseudo-population in which (under our assumptions) association is causation.</w:t>
      </w:r>
    </w:p>
    <w:p>
      <w:pPr>
        <w:pStyle w:val="Compact"/>
        <w:numPr>
          <w:ilvl w:val="0"/>
          <w:numId w:val="1021"/>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1"/>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3"/>
    <w:tbl>
      <w:tblPr>
        <w:tblStyle w:val="Table"/>
        <w:tblW w:type="pct" w:w="5000"/>
        <w:tblLayout w:type="fixed"/>
        <w:tblLook w:firstRow="0" w:lastRow="0" w:firstColumn="0" w:lastColumn="0" w:noHBand="0" w:noVBand="0" w:val="0000"/>
      </w:tblPr>
      <w:tblGrid>
        <w:gridCol w:w="7920"/>
      </w:tblGrid>
      <w:tr>
        <w:tc>
          <w:tcPr/>
          <w:bookmarkStart w:id="54"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4"/>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Start w:id="56" w:name="X12296c4f520172fb40d8d6c4d99ed3c0f68f274"/>
    <w:p>
      <w:pPr>
        <w:pStyle w:val="Heading3"/>
      </w:pPr>
      <w:ins w:id="93" w:author="PR Preview" w:date="2024-01-01T00:00:00Z">
        <w:r>
          <w:t xml:space="preserve">4.1 Continuous Treatment: Change in Smoking Intensity</w:t>
        </w:r>
      </w:ins>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def-msm-continuous"/>
          <w:p>
            <w:pPr>
              <w:pStyle w:val="BodyText"/>
            </w:pPr>
            <w:r>
              <w:rPr>
                <w:b/>
                <w:bCs/>
              </w:rPr>
              <w:t xml:space="preserve">Definition 6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5"/>
        </w:tc>
      </w:tr>
    </w:tbl>
    <w:p>
      <w:r>
        <w:pict>
          <v:rect style="width:0;height:1.5pt" o:hralign="center" o:hrstd="t" o:hr="t"/>
        </w:pict>
      </w:r>
    </w:p>
    <w:bookmarkEnd w:id="56"/>
    <w:bookmarkStart w:id="58" w:name="Xbc3f19534599f45786ca228b19d146f3357f540"/>
    <w:p>
      <w:pPr>
        <w:pStyle w:val="Heading3"/>
      </w:pPr>
      <w:ins w:id="97" w:author="PR Preview" w:date="2024-01-01T00:00:00Z">
        <w:r>
          <w:t xml:space="preserve">4.2 Effect of Increasing Intensity by 20 Cigarettes/Day</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6</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57"/>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58"/>
    <w:bookmarkStart w:id="66" w:name="weights-for-a-continuous-treatment"/>
    <w:p>
      <w:pPr>
        <w:pStyle w:val="Heading3"/>
      </w:pPr>
      <w:ins w:id="100" w:author="PR Preview" w:date="2024-01-01T00:00:00Z">
        <w:r>
          <w:t xml:space="preserve">4.3 Weights for a Continuous Treatment</w:t>
        </w:r>
      </w:ins>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2"/>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2"/>
              </w:numPr>
            </w:pPr>
            <m:oMath>
              <m:r>
                <m:t>f</m:t>
              </m:r>
              <m:r>
                <m:rPr>
                  <m:sty m:val="p"/>
                </m:rPr>
                <m:t>(</m:t>
              </m:r>
              <m:r>
                <m:t>A</m:t>
              </m:r>
              <m:r>
                <m:rPr>
                  <m:sty m:val="p"/>
                </m:rPr>
                <m:t>)</m:t>
              </m:r>
            </m:oMath>
            <w:r>
              <w:t xml:space="preserve"> </w:t>
            </w:r>
            <w:r>
              <w:t xml:space="preserve">in the numerator: also normal;</w:t>
            </w:r>
          </w:p>
          <w:p>
            <w:pPr>
              <w:pStyle w:val="Compact"/>
              <w:numPr>
                <w:ilvl w:val="0"/>
                <w:numId w:val="1022"/>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59"/>
        </w:tc>
      </w:tr>
    </w:tbl>
    <w:p>
      <w:pPr>
        <w:pStyle w:val="FirstParagraph"/>
      </w:pPr>
      <w:ins w:id="102"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warning.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3"/>
        </w:tc>
      </w:tr>
    </w:tbl>
    <w:p>
      <w:pPr>
        <w:pStyle w:val="BodyText"/>
      </w:pPr>
      <w:ins w:id="104"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66"/>
    <w:bookmarkStart w:id="69" w:name="Xf1b7fce8ba51efc151a1f2d69077bf7491d4647"/>
    <w:p>
      <w:pPr>
        <w:pStyle w:val="Heading3"/>
      </w:pPr>
      <w:ins w:id="106" w:author="PR Preview" w:date="2024-01-01T00:00:00Z">
        <w:r>
          <w:t xml:space="preserve">4.4 Dichotomous Outcome: Marginal Structural Logistic Model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def-msm-logistic"/>
          <w:p>
            <w:pPr>
              <w:pStyle w:val="BodyText"/>
            </w:pPr>
            <w:r>
              <w:rPr>
                <w:b/>
                <w:bCs/>
              </w:rPr>
              <w:t xml:space="preserve">Definition 7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w:r>
              <w:t xml:space="preserve">It is estimated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bookmarkEnd w:id="67"/>
        </w:tc>
      </w:tr>
    </w:tbl>
    <w:p>
      <w:pPr>
        <w:pStyle w:val="BodyText"/>
      </w:pPr>
      <w:ins w:id="10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68"/>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69"/>
    <w:bookmarkEnd w:id="70"/>
    <w:bookmarkStart w:id="83"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1" w:name="def-msm-effect-modification"/>
          <w:p>
            <w:pPr>
              <w:pStyle w:val="BodyText"/>
            </w:pPr>
            <w:r>
              <w:rPr>
                <w:b/>
                <w:bCs/>
              </w:rPr>
              <w:t xml:space="preserve">Definition 8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1"/>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4" w:name="fitting-the-model"/>
    <w:p>
      <w:pPr>
        <w:pStyle w:val="Heading3"/>
      </w:pPr>
      <w:r>
        <w:t xml:space="preserve">5.1 Fitting the Model</w:t>
      </w:r>
    </w:p>
    <w:bookmarkStart w:id="72" w:name="alg-fit-msm-effect-modifier"/>
    <w:p>
      <w:pPr>
        <w:pStyle w:val="FirstParagraph"/>
      </w:pPr>
      <w:ins w:id="1116" w:author="PR Preview" w:date="2024-01-01T00:00:00Z">
        <w:r>
          <w:rPr>
            <w:b/>
            <w:bCs/>
          </w:rPr>
          <w:t xml:space="preserve">Algorithm 4 (Fitting a Marginal Structural Model with an Effect Modifier)</w:t>
        </w:r>
      </w:ins>
      <w:ins w:id="1116" w:author="PR Preview" w:date="2024-01-01T00:00:00Z">
        <w:r>
          <w:t xml:space="preserve"> </w:t>
        </w:r>
      </w:ins>
      <w:ins w:id="1116" w:author="PR Preview" w:date="2024-01-01T00:00:00Z">
        <w:r>
          <w:t xml:space="preserve"> </w:t>
        </w:r>
      </w:ins>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ins w:id="119" w:author="PR Preview" w:date="2024-01-01T00:00:00Z">
        <w:r>
          <w:t xml:space="preserve">Because the model is within levels of</w:t>
        </w:r>
      </w:ins>
      <w:ins w:id="119" w:author="PR Preview" w:date="2024-01-01T00:00:00Z">
        <w:r>
          <w:t xml:space="preserve"> </w:t>
        </w:r>
      </w:ins>
      <m:oMath>
        <m:r>
          <m:t>V</m:t>
        </m:r>
      </m:oMath>
      <w:ins w:id="119" w:author="PR Preview" w:date="2024-01-01T00:00:00Z">
        <w:r>
          <w:t xml:space="preserve">, the numerator can be</w:t>
        </w:r>
      </w:ins>
      <w:ins w:id="119" w:author="PR Preview" w:date="2024-01-01T00:00:00Z">
        <w:r>
          <w:t xml:space="preserve"> </w:t>
        </w:r>
      </w:ins>
      <m:oMath>
        <m:r>
          <m:t>f</m:t>
        </m:r>
        <m:r>
          <m:rPr>
            <m:sty m:val="p"/>
          </m:rPr>
          <m:t>[</m:t>
        </m:r>
        <m:r>
          <m:t>A</m:t>
        </m:r>
        <m:r>
          <m:rPr>
            <m:sty m:val="p"/>
          </m:rPr>
          <m:t>∣</m:t>
        </m:r>
        <m:r>
          <m:t>V</m:t>
        </m:r>
        <m:r>
          <m:rPr>
            <m:sty m:val="p"/>
          </m:rPr>
          <m:t>]</m:t>
        </m:r>
      </m:oMath>
      <w:ins w:id="119" w:author="PR Preview" w:date="2024-01-01T00:00:00Z">
        <w:r>
          <w:t xml:space="preserve">.</w:t>
        </w:r>
      </w:ins>
    </w:p>
    <w:bookmarkEnd w:id="72"/>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def-stabilized-weights-v"/>
          <w:p>
            <w:pPr>
              <w:pStyle w:val="BodyText"/>
            </w:pPr>
            <w:r>
              <w:rPr>
                <w:b/>
                <w:bCs/>
              </w:rPr>
              <w:t xml:space="preserve">Definition 9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They 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3"/>
        </w:tc>
      </w:tr>
    </w:tbl>
    <w:p>
      <w:pPr>
        <w:pStyle w:val="BodyText"/>
      </w:pPr>
      <w:ins w:id="120" w:author="PR Preview" w:date="2024-01-01T00:00:00Z">
        <w:r>
          <w:t xml:space="preserve">Either</w:t>
        </w:r>
      </w:ins>
      <w:ins w:id="120" w:author="PR Preview" w:date="2024-01-01T00:00:00Z">
        <w:r>
          <w:t xml:space="preserve"> </w:t>
        </w:r>
      </w:ins>
      <m:oMath>
        <m:r>
          <m:t>S</m:t>
        </m:r>
        <m:sSup>
          <m:e>
            <m:r>
              <m:t>W</m:t>
            </m:r>
          </m:e>
          <m:sup>
            <m:r>
              <m:t>A</m:t>
            </m:r>
          </m:sup>
        </m:sSup>
      </m:oMath>
      <w:ins w:id="120" w:author="PR Preview" w:date="2024-01-01T00:00:00Z">
        <w:r>
          <w:t xml:space="preserve"> </w:t>
        </w:r>
      </w:ins>
      <w:ins w:id="120" w:author="PR Preview" w:date="2024-01-01T00:00:00Z">
        <w:r>
          <w:t xml:space="preserve">or</w:t>
        </w:r>
      </w:ins>
      <w:ins w:id="120" w:author="PR Preview" w:date="2024-01-01T00:00:00Z">
        <w:r>
          <w:t xml:space="preserve"> </w:t>
        </w:r>
      </w:ins>
      <m:oMath>
        <m:r>
          <m:t>S</m:t>
        </m:r>
        <m:sSup>
          <m:e>
            <m:r>
              <m:t>W</m:t>
            </m:r>
          </m:e>
          <m:sup>
            <m:r>
              <m:t>A</m:t>
            </m:r>
          </m:sup>
        </m:sSup>
        <m:r>
          <m:rPr>
            <m:sty m:val="p"/>
          </m:rPr>
          <m:t>(</m:t>
        </m:r>
        <m:r>
          <m:t>V</m:t>
        </m:r>
        <m:r>
          <m:rPr>
            <m:sty m:val="p"/>
          </m:rPr>
          <m:t>)</m:t>
        </m:r>
      </m:oMath>
      <w:ins w:id="120" w:author="PR Preview" w:date="2024-01-01T00:00:00Z">
        <w:r>
          <w:t xml:space="preserve"> </w:t>
        </w:r>
      </w:ins>
      <w:ins w:id="120" w:author="PR Preview" w:date="2024-01-01T00:00:00Z">
        <w:r>
          <w:t xml:space="preserve">(</w:t>
        </w:r>
      </w:ins>
      <w:hyperlink w:anchor="def-stabilized-weights-v">
        <w:r>
          <w:rPr>
            <w:rStyle w:val="Hyperlink"/>
          </w:rPr>
          <w:t xml:space="preserve">Definition 9</w:t>
        </w:r>
      </w:hyperlink>
      <w:ins w:id="120" w:author="PR Preview" w:date="2024-01-01T00:00:00Z">
        <w:r>
          <w:t xml:space="preserve">) can be used to fit the model.</w:t>
        </w:r>
      </w:ins>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4"/>
    <w:bookmarkStart w:id="76"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5"/>
        </w:tc>
      </w:tr>
    </w:tbl>
    <w:p>
      <w:r>
        <w:pict>
          <v:rect style="width:0;height:1.5pt" o:hralign="center" o:hrstd="t" o:hr="t"/>
        </w:pict>
      </w:r>
    </w:p>
    <w:bookmarkEnd w:id="76"/>
    <w:bookmarkStart w:id="82"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7" w:name="rem-which-covariates"/>
          <w:p>
            <w:pPr>
              <w:pStyle w:val="BodyText"/>
            </w:pPr>
            <w:r>
              <w:rPr>
                <w:i/>
                <w:iCs/>
              </w:rPr>
              <w:t xml:space="preserve">Remark 5</w:t>
            </w:r>
            <w:r>
              <w:t xml:space="preserve"> (Choosing the Covariates of a Marginal Structural Model). </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 IP weighting is unnecessary.</w:t>
            </w:r>
          </w:p>
          <w:bookmarkEnd w:id="77"/>
        </w:tc>
      </w:tr>
    </w:tbl>
    <w:p>
      <w:pPr>
        <w:pStyle w:val="FirstParagraph"/>
      </w:pPr>
      <w:ins w:id="12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def-faux-msm"/>
          <w:p>
            <w:pPr>
              <w:pStyle w:val="BodyText"/>
            </w:pPr>
            <w:r>
              <w:rPr>
                <w:b/>
                <w:bCs/>
              </w:rPr>
              <w:t xml:space="preserve">Definition 10 (Faux Marginal Structural Model)</w:t>
            </w:r>
            <w:r>
              <w:t xml:space="preserve"> </w:t>
            </w:r>
            <w:r>
              <w:t xml:space="preserve">A marginal structural model that includes all of</w:t>
            </w:r>
            <w:r>
              <w:t xml:space="preserve"> </w:t>
            </w:r>
            <m:oMath>
              <m:r>
                <m:t>L</m:t>
              </m:r>
            </m:oMath>
            <w:r>
              <w:t xml:space="preserve"> </w:t>
            </w:r>
            <w:r>
              <w:t xml:space="preserve">as covariates has</w:t>
            </w:r>
            <w:r>
              <w:t xml:space="preserve"> </w:t>
            </w:r>
            <m:oMath>
              <m:r>
                <m:t>S</m:t>
              </m:r>
              <m:sSup>
                <m:e>
                  <m:r>
                    <m:t>W</m:t>
                  </m:r>
                </m:e>
                <m:sup>
                  <m:r>
                    <m:t>A</m:t>
                  </m:r>
                </m:sup>
              </m:sSup>
              <m:r>
                <m:rPr>
                  <m:sty m:val="p"/>
                </m:rPr>
                <m:t>(</m:t>
              </m:r>
              <m:r>
                <m:t>L</m:t>
              </m:r>
              <m:r>
                <m:rPr>
                  <m:sty m:val="p"/>
                </m:rPr>
                <m:t>)</m:t>
              </m:r>
              <m:r>
                <m:rPr>
                  <m:sty m:val="p"/>
                </m:rPr>
                <m:t>=</m:t>
              </m:r>
              <m:r>
                <m:t>1</m:t>
              </m:r>
            </m:oMath>
            <w:r>
              <w:t xml:space="preserve">, so no weighting is done:</w:t>
            </w:r>
            <w:r>
              <w:t xml:space="preserve"> </w:t>
            </w:r>
            <w:r>
              <w:t xml:space="preserve">it is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bookmarkEnd w:id="78"/>
        </w:tc>
      </w:tr>
    </w:tbl>
    <w:p>
      <w:pPr>
        <w:pStyle w:val="BodyText"/>
      </w:pPr>
      <w:ins w:id="127" w:author="PR Preview" w:date="2024-01-01T00:00:00Z">
        <w:r>
          <w:t xml:space="preserve"> </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tip.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2"/>
    <w:bookmarkEnd w:id="83"/>
    <w:bookmarkStart w:id="97"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def-censoring-indicator"/>
          <w:p>
            <w:pPr>
              <w:pStyle w:val="BodyText"/>
            </w:pPr>
            <w:r>
              <w:rPr>
                <w:b/>
                <w:bCs/>
              </w:rPr>
              <w:t xml:space="preserve">Definition 11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4"/>
        </w:tc>
      </w:tr>
    </w:tbl>
    <w:p>
      <w:pPr>
        <w:pStyle w:val="BodyText"/>
      </w:pPr>
      <w:ins w:id="131"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86"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5"/>
        </w:tc>
      </w:tr>
    </w:tbl>
    <w:p>
      <w:r>
        <w:pict>
          <v:rect style="width:0;height:1.5pt" o:hralign="center" o:hrstd="t" o:hr="t"/>
        </w:pict>
      </w:r>
    </w:p>
    <w:bookmarkEnd w:id="86"/>
    <w:bookmarkStart w:id="88"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7" w:name="def-effect-without-censoring"/>
          <w:p>
            <w:pPr>
              <w:pStyle w:val="BodyText"/>
            </w:pPr>
            <w:r>
              <w:rPr>
                <w:b/>
                <w:bCs/>
              </w:rPr>
              <w:t xml:space="preserve">Definition 12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87"/>
        </w:tc>
      </w:tr>
    </w:tbl>
    <w:p>
      <w:pPr>
        <w:pStyle w:val="BodyText"/>
      </w:pPr>
      <w:ins w:id="138" w:author="PR Preview" w:date="2024-01-01T00:00:00Z">
        <w:r>
          <w:t xml:space="preserve">The superscript</w:t>
        </w:r>
      </w:ins>
      <w:ins w:id="138" w:author="PR Preview" w:date="2024-01-01T00:00:00Z">
        <w:r>
          <w:t xml:space="preserve"> </w:t>
        </w:r>
      </w:ins>
      <m:oMath>
        <m:r>
          <m:t>c</m:t>
        </m:r>
        <m:r>
          <m:rPr>
            <m:sty m:val="p"/>
          </m:rPr>
          <m:t>=</m:t>
        </m:r>
        <m:r>
          <m:t>0</m:t>
        </m:r>
      </m:oMath>
      <w:ins w:id="138" w:author="PR Preview" w:date="2024-01-01T00:00:00Z">
        <w:r>
          <w:t xml:space="preserve"> </w:t>
        </w:r>
      </w:ins>
      <w:ins w:id="138" w:author="PR Preview" w:date="2024-01-01T00:00:00Z">
        <w:r>
          <w:t xml:space="preserve">makes explicit what many investigators mean by</w:t>
        </w:r>
      </w:ins>
      <w:ins w:id="138" w:author="PR Preview" w:date="2024-01-01T00:00:00Z">
        <w:r>
          <w:t xml:space="preserve"> </w:t>
        </w:r>
      </w:ins>
      <w:ins w:id="138" w:author="PR Preview" w:date="2024-01-01T00:00:00Z">
        <w:r>
          <w:t xml:space="preserve">“the causal effect of</w:t>
        </w:r>
      </w:ins>
      <w:ins w:id="138" w:author="PR Preview" w:date="2024-01-01T00:00:00Z">
        <w:r>
          <w:t xml:space="preserve"> </w:t>
        </w:r>
      </w:ins>
      <m:oMath>
        <m:r>
          <m:t>A</m:t>
        </m:r>
      </m:oMath>
      <w:ins w:id="138" w:author="PR Preview" w:date="2024-01-01T00:00:00Z">
        <w:r>
          <w:t xml:space="preserve">”</w:t>
        </w:r>
      </w:ins>
      <w:ins w:id="138" w:author="PR Preview" w:date="2024-01-01T00:00:00Z">
        <w:r>
          <w:t xml:space="preserve"> </w:t>
        </w:r>
      </w:ins>
      <w:ins w:id="138" w:author="PR Preview" w:date="2024-01-01T00:00:00Z">
        <w:r>
          <w:t xml:space="preserve">even when they omit it.</w:t>
        </w:r>
      </w:ins>
    </w:p>
    <w:p>
      <w:r>
        <w:pict>
          <v:rect style="width:0;height:1.5pt" o:hralign="center" o:hrstd="t" o:hr="t"/>
        </w:pict>
      </w:r>
    </w:p>
    <w:bookmarkEnd w:id="88"/>
    <w:bookmarkStart w:id="91"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def-censoring-weights"/>
          <w:p>
            <w:pPr>
              <w:pStyle w:val="BodyText"/>
            </w:pPr>
            <w:r>
              <w:rPr>
                <w:b/>
                <w:bCs/>
              </w:rPr>
              <w:t xml:space="preserve">Definition 13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89"/>
        </w:tc>
      </w:tr>
    </w:tbl>
    <w:p>
      <w:pPr>
        <w:pStyle w:val="BodyText"/>
      </w:pPr>
      <w:ins w:id="14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0" w:name="def-identifiability-a-c"/>
          <w:p>
            <w:pPr>
              <w:pStyle w:val="BodyText"/>
            </w:pPr>
            <w:r>
              <w:rPr>
                <w:b/>
                <w:bCs/>
              </w:rPr>
              <w:t xml:space="preserve">Definition 14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bookmarkEnd w:id="90"/>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1"/>
    <w:bookmarkStart w:id="96"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def-stabilized-censoring-weights"/>
          <w:p>
            <w:pPr>
              <w:pStyle w:val="BodyText"/>
            </w:pPr>
            <w:r>
              <w:rPr>
                <w:b/>
                <w:bCs/>
              </w:rPr>
              <w:t xml:space="preserve">Definition 15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r>
                  <m:t>S</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2"/>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146" w:author="PR Preview" w:date="2024-01-01T00:00:00Z">
        <w:r>
          <w:t xml:space="preserve">With either, fit the weighted model</w:t>
        </w:r>
      </w:ins>
      <w:ins w:id="146"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146" w:author="PR Preview" w:date="2024-01-01T00:00:00Z">
        <w:r>
          <w:t xml:space="preserve"> </w:t>
        </w:r>
      </w:ins>
      <w:ins w:id="146" w:author="PR Preview" w:date="2024-01-01T00:00:00Z">
        <w:r>
          <w:t xml:space="preserve">to estimate the marginal structural model</w:t>
        </w:r>
      </w:ins>
      <w:ins w:id="146"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146" w:author="PR Preview" w:date="2024-01-01T00:00:00Z">
        <w:r>
          <w:t xml:space="preserve">;</w:t>
        </w:r>
      </w:ins>
      <w:ins w:id="146" w:author="PR Preview" w:date="2024-01-01T00:00:00Z">
        <w:r>
          <w:t xml:space="preserve"> </w:t>
        </w:r>
      </w:ins>
      <w:ins w:id="146" w:author="PR Preview" w:date="2024-01-01T00:00:00Z">
        <w:r>
          <w:t xml:space="preserve">the stabilized version uses</w:t>
        </w:r>
      </w:ins>
      <w:ins w:id="146" w:author="PR Preview" w:date="2024-01-01T00:00:00Z">
        <w:r>
          <w:t xml:space="preserve"> </w:t>
        </w:r>
      </w:ins>
      <m:oMath>
        <m:r>
          <m:t>S</m:t>
        </m:r>
        <m:sSup>
          <m:e>
            <m:r>
              <m:t>W</m:t>
            </m:r>
          </m:e>
          <m:sup>
            <m:r>
              <m:t>A</m:t>
            </m:r>
            <m:r>
              <m:rPr>
                <m:sty m:val="p"/>
              </m:rPr>
              <m:t>,</m:t>
            </m:r>
            <m:r>
              <m:t>C</m:t>
            </m:r>
          </m:sup>
        </m:sSup>
      </m:oMath>
      <w:ins w:id="146" w:author="PR Preview" w:date="2024-01-01T00:00:00Z">
        <w:r>
          <w:t xml:space="preserve"> </w:t>
        </w:r>
      </w:ins>
      <w:ins w:id="146" w:author="PR Preview" w:date="2024-01-01T00:00:00Z">
        <w:r>
          <w:t xml:space="preserve">(</w:t>
        </w:r>
      </w:ins>
      <w:hyperlink w:anchor="def-stabilized-censoring-weights">
        <w:r>
          <w:rPr>
            <w:rStyle w:val="Hyperlink"/>
          </w:rPr>
          <w:t xml:space="preserve">Definition 15</w:t>
        </w:r>
      </w:hyperlink>
      <w:ins w:id="146" w:author="PR Preview" w:date="2024-01-01T00:00:00Z">
        <w:r>
          <w:t xml:space="preserve">).</w:t>
        </w:r>
      </w:ins>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m-nhefs-censoring"/>
          <w:p>
            <w:pPr>
              <w:pStyle w:val="BodyText"/>
            </w:pPr>
            <w:r>
              <w:rPr>
                <w:b/>
                <w:bCs/>
              </w:rPr>
              <w:t xml:space="preserve">Example 12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3"/>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96"/>
    <w:bookmarkEnd w:id="97"/>
    <w:bookmarkStart w:id="103"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warning.png" id="99"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2" w:name="refs"/>
    <w:bookmarkStart w:id="10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0">
        <w:r>
          <w:rPr>
            <w:rStyle w:val="Hyperlink"/>
          </w:rPr>
          <w:t xml:space="preserve">https://miguelhernan.org/whatifbook</w:t>
        </w:r>
      </w:hyperlink>
      <w:r>
        <w:t xml:space="preserve">.</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79" Type="http://schemas.openxmlformats.org/officeDocument/2006/relationships/image" Target="media/rId79.png"/><Relationship Id="rId60" Type="http://schemas.openxmlformats.org/officeDocument/2006/relationships/image" Target="media/rId60.png"/><Relationship Id="rId100"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2026-10-02T17:28:15Z</dcterms:created>
  <dcterms:modified xsi:type="dcterms:W3CDTF">2026-10-02T17:28:15Z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