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plus correctly specified models for the quantities they estimate along the way.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we can use a structural model that also has parameters for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ins w:id="1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7" w:author="PR Preview" w:date="2024-01-01T00:00:00Z">
        <w:r>
          <w:t xml:space="preserve">So the structural parameters can be estimated by ordinary least squares, fitting the outcome regression model of</w:t>
        </w:r>
      </w:ins>
      <w:ins w:id="17" w:author="PR Preview" w:date="2024-01-01T00:00:00Z">
        <w:r>
          <w:t xml:space="preserve"> </w:t>
        </w:r>
      </w:ins>
      <w:hyperlink w:anchor="prp-outcome-regression-identification">
        <w:r>
          <w:rPr>
            <w:rStyle w:val="Hyperlink"/>
          </w:rPr>
          <w:t xml:space="preserve">Proposition 2</w:t>
        </w:r>
      </w:hyperlink>
      <w:ins w:id="17" w:author="PR Preview" w:date="2024-01-01T00:00:00Z">
        <w:r>
          <w:t xml:space="preserve">.</w:t>
        </w:r>
      </w:ins>
    </w:p>
    <w:p>
      <w:pPr>
        <w:pStyle w:val="BodyText"/>
      </w:pPr>
      <w:ins w:id="18" w:author="PR Preview" w:date="2024-01-01T00:00:00Z">
        <w:r>
          <w:t xml:space="preserve">Like stratification (Chapter 3), outcome regression adjusts for confounding by estimating the effect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b/>
            <w:bCs/>
          </w:rPr>
          <w:t xml:space="preserve">within strata of</w:t>
        </w:r>
      </w:ins>
      <w:ins w:id="18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Section 13.2, the outcome regression was an intermediate step toward a standardized (marginal) mean;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here the regression is the end of the procedure: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we compare conditional means instead of standardizing them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200)</w:t>
        </w:r>
      </w:ins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ins w:id="27" w:author="PR Preview" w:date="2024-01-01T00:00:00Z">
        <w:r>
          <w:t xml:space="preserve">Quitters having a higher average estimated probability of quitting is exactly what we expect when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ins w:id="3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2" w:author="PR Preview" w:date="2024-01-01T00:00:00Z">
        <w:r>
          <w:t xml:space="preserve">In words: individuals with the same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differ in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(e.g., smoking intensity and exercise),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but among all individuals with a given value of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super-population,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distribution of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same in the treated and the untreated.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 function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a balancing score exactly when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written as a function of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(Rosenbaum and Rubin 1983, Theorem 2)</w:t>
        </w:r>
      </w:ins>
      <w:ins w:id="32" w:author="PR Preview" w:date="2024-01-01T00:00:00Z">
        <w:r>
          <w:t xml:space="preserve">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propensity score is the coarsest balancing score.</w:t>
        </w:r>
      </w:ins>
    </w:p>
    <w:p>
      <w:pPr>
        <w:pStyle w:val="BodyText"/>
      </w:pPr>
      <w:ins w:id="33" w:author="PR Preview" w:date="2024-01-01T00:00:00Z">
        <w:r>
          <w:t xml:space="preserve">If the distribution of</w:t>
        </w:r>
      </w:ins>
      <w:ins w:id="3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were the same in the treated and the untreated, there would be no association between</w:t>
        </w:r>
      </w:ins>
      <w:ins w:id="33" w:author="PR Preview" w:date="2024-01-01T00:00:00Z">
        <w:r>
          <w:t xml:space="preserve"> </w:t>
        </w:r>
      </w:ins>
      <m:oMath>
        <m:r>
          <m:t>L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</w:t>
        </w:r>
      </w:ins>
      <w:ins w:id="33" w:author="PR Preview" w:date="2024-01-01T00:00:00Z">
        <w:r>
          <w:t xml:space="preserve"> </w:t>
        </w:r>
      </w:ins>
      <m:oMath>
        <m:r>
          <m:t>A</m:t>
        </m:r>
      </m:oMath>
      <w:ins w:id="33" w:author="PR Preview" w:date="2024-01-01T00:00:00Z">
        <w:r>
          <w:t xml:space="preserve">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then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, and combining this with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from</w:t>
        </w:r>
      </w:ins>
      <w:ins w:id="33" w:author="PR Preview" w:date="2024-01-01T00:00:00Z">
        <w:r>
          <w:t xml:space="preserve"> </w:t>
        </w:r>
      </w:ins>
      <w:hyperlink w:anchor="prp-ps-balancing">
        <w:r>
          <w:rPr>
            <w:rStyle w:val="Hyperlink"/>
          </w:rPr>
          <w:t xml:space="preserve">Proposition 3</w:t>
        </w:r>
      </w:hyperlink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gives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ins w:id="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ins w:id="34" w:author="PR Preview" w:date="2024-01-01T00:00:00Z">
        <w:r>
          <w:t xml:space="preserve">Rosenbaum and Rubin proved that exchangeability and positivity given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imply exchangeability and positivity given any balancing score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(Rosenbaum and Rubin 1983, Theorem 3; Hernán and Robins 2020, 202)</w:t>
        </w:r>
      </w:ins>
      <w:ins w:id="34" w:author="PR Preview" w:date="2024-01-01T00:00:00Z">
        <w:r>
          <w:t xml:space="preserve">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Graphically,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sits between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and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, with a deterministic arrow</w:t>
        </w:r>
      </w:ins>
      <w:ins w:id="3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(book Figure 15.2);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conditioning on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blocks the backdoor paths from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through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34" w:author="PR Preview" w:date="2024-01-01T00:00:00Z">
        <w:r>
          <w:t xml:space="preserve">), so adjusting for it suffices.</w:t>
        </w:r>
      </w:ins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ins w:id="3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ins w:id="39" w:author="PR Preview" w:date="2024-01-01T00:00:00Z">
        <w:r>
          <w:t xml:space="preserve">Hence, if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sufficient to adjust for confounding, so is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202)</w:t>
        </w:r>
      </w:ins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part 2 of</w:t>
        </w:r>
      </w:ins>
      <w:ins w:id="39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states the positivity condition given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ins w:id="41" w:author="PR Preview" w:date="2024-01-01T00:00:00Z">
        <w:r>
          <w:t xml:space="preserve">2.2 Using the Propensity Score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ins w:id="4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ins w:id="45" w:author="PR Preview" w:date="2024-01-01T00:00:00Z">
        <w:r>
          <w:t xml:space="preserve">For treatment alone, without censoring,</w:t>
        </w:r>
      </w:ins>
      <w:ins w:id="45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shows that exchangeability and positivity given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carry over to</w:t>
        </w:r>
      </w:ins>
      <w:ins w:id="4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When no one is censored, the joint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conditions of</w:t>
        </w:r>
      </w:ins>
      <w:ins w:id="45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reduce to these treatment-only conditions,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so they hold whenever exchangeability and positivity given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hold (with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discrete, as in</w:t>
        </w:r>
      </w:ins>
      <w:ins w:id="45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5" w:author="PR Preview" w:date="2024-01-01T00:00:00Z">
        <w:r>
          <w:t xml:space="preserve">).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 censoring,</w:t>
        </w:r>
      </w:ins>
      <w:ins w:id="4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alone need not suffice;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one would instead condition on a score</w:t>
        </w:r>
      </w:ins>
      <w:ins w:id="45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for example the vector of joint probabilities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over all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ins w:id="48" w:author="PR Preview" w:date="2024-01-01T00:00:00Z">
        <w:r>
          <w:t xml:space="preserve">With wide confidence intervals, differences between deciles may reflect chance.</w:t>
        </w:r>
      </w:ins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ins w:id="57" w:author="PR Preview" w:date="2024-01-01T00:00:00Z">
        <w:r>
          <w:t xml:space="preserve">The outcome model on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estimates effects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within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levels</w:t>
        </w:r>
      </w:ins>
      <w:ins w:id="57" w:author="PR Preview" w:date="2024-01-01T00:00:00Z">
        <w:r>
          <w:t xml:space="preserve"> </w:t>
        </w:r>
      </w:ins>
      <m:oMath>
        <m:r>
          <m:t>s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of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ins w:id="5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1" w:author="PR Preview" w:date="2024-01-01T00:00:00Z">
        <w:r>
          <w:t xml:space="preserve">Matching on</w:t>
        </w:r>
      </w:ins>
      <w:ins w:id="6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is analogous to matching on a single continuous variable (Chapter 4).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ins w:id="63" w:author="PR Preview" w:date="2024-01-01T00:00:00Z">
        <w:r>
          <w:t xml:space="preserve">Under exchangeability and positivity given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exact matching on the true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makes the treated and the untreated in the matched population exchangeable,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so, under consistency, association measures in the matched population equal the effect measures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in the matched population</w:t>
        </w:r>
      </w:ins>
      <w:ins w:id="6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4" w:author="PR Preview" w:date="2024-01-01T00:00:00Z">
        <w:r>
          <w:t xml:space="preserve">In practice we match on an estimate</w:t>
        </w:r>
      </w:ins>
      <w:ins w:id="6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Equal estimated scores need not mean equal true scores,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so even with a correctly specified propensity model this exchangeability holds only approximately,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with the approximation improving as the sample grows.</w:t>
        </w:r>
      </w:ins>
    </w:p>
    <w:p>
      <w:pPr>
        <w:pStyle w:val="Compact"/>
        <w:numPr>
          <w:ilvl w:val="0"/>
          <w:numId w:val="1011"/>
        </w:numPr>
      </w:pPr>
      <w:ins w:id="65" w:author="PR Preview" w:date="2024-01-01T00:00:00Z">
        <w:r>
          <w:t xml:space="preserve">Caliper matching adds a second approximation: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some bias may remain, and it typically shrinks as the caliper narrows.</w:t>
        </w:r>
      </w:ins>
    </w:p>
    <w:p>
      <w:pPr>
        <w:pStyle w:val="Compact"/>
        <w:numPr>
          <w:ilvl w:val="0"/>
          <w:numId w:val="1011"/>
        </w:numPr>
      </w:pPr>
      <w:ins w:id="66" w:author="PR Preview" w:date="2024-01-01T00:00:00Z">
        <w:r>
          <w:t xml:space="preserve">With censoring, outcomes are observed only for the uncensored members of the matched population.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One way to account for that is to weight the uncensored by the inverse of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(Chapter 12),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which needs a correct censoring model,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ins w:id="66" w:author="PR Preview" w:date="2024-01-01T00:00:00Z">
        <w:r>
          <w:t xml:space="preserve">, and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66" w:author="PR Preview" w:date="2024-01-01T00:00:00Z">
        <w:r>
          <w:t xml:space="preserve">.</w:t>
        </w:r>
      </w:ins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ins w:id="1070" w:author="PR Preview" w:date="2024-01-01T00:00:00Z">
        <w:r>
          <w:pict>
            <v:rect style="width:0;height:1.5pt" o:hralign="center" o:hrstd="t" o:hr="t"/>
          </w:pict>
        </w:r>
      </w:ins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ins w:id="7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ins w:id="7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ins w:id="108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ins w:id="9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ins w:id="10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ins w:id="10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ins w:id="105" w:author="PR Preview" w:date="2024-01-01T00:00:00Z">
        <w:r>
          <w:t xml:space="preserve">Outcome regression and propensity score methods need the same identifying conditions as the g-methods, plus correct models for their nuisance parameters (</w:t>
        </w:r>
      </w:ins>
      <w:hyperlink w:anchor="def-nuisance-parameter">
        <w:r>
          <w:rPr>
            <w:rStyle w:val="Hyperlink"/>
          </w:rPr>
          <w:t xml:space="preserve">Definition 2</w:t>
        </w:r>
      </w:hyperlink>
      <w:ins w:id="10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ins w:id="1111" w:author="PR Preview" w:date="2024-01-01T00:00:00Z">
        <w:r>
          <w:t xml:space="preserve">Rosenbaum, Paul R, and Donald B Rubin. 1983.</w:t>
        </w:r>
      </w:ins>
      <w:ins w:id="1111" w:author="PR Preview" w:date="2024-01-01T00:00:00Z">
        <w:r>
          <w:t xml:space="preserve"> </w:t>
        </w:r>
      </w:ins>
      <w:ins w:id="1111" w:author="PR Preview" w:date="2024-01-01T00:00:00Z">
        <w:r>
          <w:t xml:space="preserve">“The Central Role of the Propensity Score in Observational Studies for Causal Effects.”</w:t>
        </w:r>
      </w:ins>
      <w:ins w:id="1111" w:author="PR Preview" w:date="2024-01-01T00:00:00Z">
        <w:r>
          <w:t xml:space="preserve"> </w:t>
        </w:r>
      </w:ins>
      <w:ins w:id="1111" w:author="PR Preview" w:date="2024-01-01T00:00:00Z">
        <w:r>
          <w:rPr>
            <w:i/>
            <w:iCs/>
          </w:rPr>
          <w:t xml:space="preserve">Biometrika</w:t>
        </w:r>
      </w:ins>
      <w:ins w:id="1111" w:author="PR Preview" w:date="2024-01-01T00:00:00Z">
        <w:r>
          <w:t xml:space="preserve"> </w:t>
        </w:r>
      </w:ins>
      <w:ins w:id="1111" w:author="PR Preview" w:date="2024-01-01T00:00:00Z">
        <w:r>
          <w:t xml:space="preserve">70 (1): 41–55.</w:t>
        </w:r>
      </w:ins>
      <w:ins w:id="1111" w:author="PR Preview" w:date="2024-01-01T00:00:00Z">
        <w:r>
          <w:t xml:space="preserve"> </w:t>
        </w:r>
      </w:ins>
      <w:hyperlink r:id="rId98">
        <w:r>
          <w:rPr>
            <w:rStyle w:val="Hyperlink"/>
          </w:rPr>
          <w:t xml:space="preserve">https://doi.org/10.1093/biomet/70.1.41</w:t>
        </w:r>
      </w:hyperlink>
      <w:ins w:id="1111" w:author="PR Preview" w:date="2024-01-01T00:00:00Z">
        <w:r>
          <w:t xml:space="preserve">.</w:t>
        </w:r>
      </w:ins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2026-10-08T05:51:27Z</dcterms:created>
  <dcterms:modified xsi:type="dcterms:W3CDTF">2026-10-08T05:51:27Z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