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p>
      <w:pPr>
        <w:pStyle w:val="BodyText"/>
      </w:pPr>
      <w:r>
        <w:t xml:space="preserve">An association created by the process that selects individuals into the analysis is called</w:t>
      </w:r>
      <w:r>
        <w:t xml:space="preserve"> </w:t>
      </w:r>
      <w:r>
        <w:rPr>
          <w:b/>
          <w:bCs/>
        </w:rPr>
        <w:t xml:space="preserve">selection bias</w:t>
      </w:r>
      <w:r>
        <w:t xml:space="preserve">.</w:t>
      </w:r>
      <w:r>
        <w:t xml:space="preserve"> </w:t>
      </w:r>
      <w:r>
        <w:t xml:space="preserve">Unlike confounding, it does not require common causes of treatment and outcome, and it can occur in randomized experiments as well as in observational studies.</w:t>
      </w:r>
      <w:r>
        <w:t xml:space="preserve"> </w:t>
      </w:r>
      <w:r>
        <w:t xml:space="preserve">Like confounding, it is a form of lack of exchangeability between the treated and the untreated.</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1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r>
        <w:t xml:space="preserve"> </w:t>
      </w:r>
      <w:r>
        <w:t xml:space="preserve">The chapter focuses on bias that would arise even if treatment had no effect on the outcome, i.e.,</w:t>
      </w:r>
      <w:r>
        <w:t xml:space="preserve"> </w:t>
      </w:r>
      <w:r>
        <w:rPr>
          <w:b/>
          <w:bCs/>
        </w:rPr>
        <w:t xml:space="preserve">selection bias under the null</w:t>
      </w:r>
      <w:r>
        <w:t xml:space="preserve"> </w:t>
      </w:r>
      <w:r>
        <w:t xml:space="preserve">(Section 6.5).</w:t>
      </w:r>
      <w:r>
        <w:t xml:space="preserve"> </w:t>
      </w:r>
      <w:r>
        <w:t xml:space="preserve">Causal diagrams make its structure explicit.</w:t>
      </w:r>
    </w:p>
    <w:p>
      <w:r>
        <w:pict>
          <v:rect style="width:0;height:1.5pt" o:hralign="center" o:hrstd="t" o:hr="t"/>
        </w:pict>
      </w:r>
    </w:p>
    <w:bookmarkStart w:id="9" w:name="X33ca93bcc71e85d246154be9729f5a5e87fe326"/>
    <w:p>
      <w:pPr>
        <w:pStyle w:val="Heading3"/>
      </w:pPr>
      <w:r>
        <w:t xml:space="preserve">1.1 Figure 8.1: Folic Acid and Cardiac Malformations</w:t>
      </w:r>
    </w:p>
    <w:p>
      <w:pPr>
        <w:pStyle w:val="FirstParagraph"/>
      </w:pP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9"/>
    <w:bookmarkStart w:id="10" w:name="X9ba43169b700c66775cd3e3110b31c0160769f0"/>
    <w:p>
      <w:pPr>
        <w:pStyle w:val="Heading3"/>
      </w:pPr>
      <w:r>
        <w:t xml:space="preserve">1.2 Figure 8.2: Conditioning on a Descendant of the Collider</w:t>
      </w:r>
    </w:p>
    <w:p>
      <w:pPr>
        <w:pStyle w:val="FirstParagraph"/>
      </w:pP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 and it is present whether or not there is an arrow</w:t>
      </w:r>
      <w:r>
        <w:t xml:space="preserve"> </w:t>
      </w:r>
      <m:oMath>
        <m:r>
          <m:t>A</m:t>
        </m:r>
        <m:r>
          <m:rPr>
            <m:sty m:val="p"/>
          </m:rPr>
          <m:t>→</m:t>
        </m:r>
        <m:r>
          <m:t>Y</m:t>
        </m:r>
      </m:oMath>
      <w:r>
        <w:t xml:space="preserve">: it is selection bias under the null.</w:t>
      </w:r>
    </w:p>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r>
        <w:t xml:space="preserve"> </w:t>
      </w:r>
      <w:r>
        <w:t xml:space="preserve">Figures 8.3-8.6 show that selection bias under the null can be defined more generally than conditioning on a common effect of treatment and outcome.</w:t>
      </w:r>
    </w:p>
    <w:p>
      <w:r>
        <w:pict>
          <v:rect style="width:0;height:1.5pt" o:hralign="center" o:hrstd="t" o:hr="t"/>
        </w:pict>
      </w:r>
    </w:p>
    <w:bookmarkEnd w:id="10"/>
    <w:bookmarkStart w:id="12" w:name="X4f5aa9f99d8adf366393f578cfa07415a38a5fa"/>
    <w:p>
      <w:pPr>
        <w:pStyle w:val="Heading3"/>
      </w:pPr>
      <w:r>
        <w:t xml:space="preserve">1.3 Figures 8.3-8.6: Differential Loss to Follow-Up</w:t>
      </w:r>
    </w:p>
    <w:p>
      <w:pPr>
        <w:pStyle w:val="FirstParagraph"/>
      </w:pP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 </w:t>
      </w:r>
      <w:r>
        <w:t xml:space="preserve">(the diagram omits the arrow</w:t>
      </w:r>
      <w:r>
        <w:t xml:space="preserve"> </w:t>
      </w:r>
      <m:oMath>
        <m:r>
          <m:t>A</m:t>
        </m:r>
        <m:r>
          <m:rPr>
            <m:sty m:val="p"/>
          </m:rPr>
          <m:t>→</m:t>
        </m:r>
        <m:r>
          <m:t>Y</m:t>
        </m:r>
      </m:oMath>
      <w:r>
        <w:t xml:space="preserve"> </w:t>
      </w:r>
      <w:r>
        <w:t xml:space="preserve">to reduce clutter).</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w:r>
        <w:t xml:space="preserve">In this section</w:t>
      </w:r>
      <w:r>
        <w:t xml:space="preserve"> </w:t>
      </w:r>
      <m:oMath>
        <m:r>
          <m:t>L</m:t>
        </m:r>
      </m:oMath>
      <w:r>
        <w:t xml:space="preserve"> </w:t>
      </w:r>
      <w:r>
        <w:t xml:space="preserve">is treated as unmeasured;</w:t>
      </w:r>
      <w:r>
        <w:t xml:space="preserve"> </w:t>
      </w:r>
      <w:r>
        <w:t xml:space="preserve">Section 8.5 discusses the role of a measured</w:t>
      </w:r>
      <w:r>
        <w:t xml:space="preserve"> </w:t>
      </w:r>
      <m:oMath>
        <m:r>
          <m:t>L</m:t>
        </m:r>
      </m:oMath>
      <w:r>
        <w:t xml:space="preserv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the associational risk ratio differs from 1 even though the causal risk ratio equals 1.</w:t>
      </w:r>
    </w:p>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p>
      <w:pPr>
        <w:pStyle w:val="BodyText"/>
      </w:pPr>
      <w:r>
        <w:t xml:space="preserve">Intuition for the direction of the bias: a treated individual with side effects is at higher risk of dropping out.</w:t>
      </w:r>
      <w:r>
        <w:t xml:space="preserve"> </w:t>
      </w:r>
      <w:r>
        <w:t xml:space="preserve">If that individual nevertheless did not drop out (</w:t>
      </w:r>
      <m:oMath>
        <m:r>
          <m:t>C</m:t>
        </m:r>
        <m:r>
          <m:rPr>
            <m:sty m:val="p"/>
          </m:rPr>
          <m:t>=</m:t>
        </m:r>
        <m:r>
          <m:t>0</m:t>
        </m:r>
      </m:oMath>
      <w:r>
        <w:t xml:space="preserve">), a second, independent cause of dropout (such as</w:t>
      </w:r>
      <w:r>
        <w:t xml:space="preserve"> </w:t>
      </w:r>
      <m:oMath>
        <m:r>
          <m:t>U</m:t>
        </m:r>
        <m:r>
          <m:rPr>
            <m:sty m:val="p"/>
          </m:rPr>
          <m:t>=</m:t>
        </m:r>
        <m:r>
          <m:t>1</m:t>
        </m:r>
      </m:oMath>
      <w:r>
        <w:t xml:space="preserve">) is less likely to be present.</w:t>
      </w:r>
      <w:r>
        <w:t xml:space="preserve"> </w:t>
      </w:r>
      <w:r>
        <w:t xml:space="preserve">So among the uncensored,</w:t>
      </w:r>
      <w:r>
        <w:t xml:space="preserve"> </w:t>
      </w:r>
      <m:oMath>
        <m:r>
          <m:t>A</m:t>
        </m:r>
      </m:oMath>
      <w:r>
        <w:t xml:space="preserve"> </w:t>
      </w:r>
      <w:r>
        <w:t xml:space="preserve">and</w:t>
      </w:r>
      <w:r>
        <w:t xml:space="preserve"> </w:t>
      </w:r>
      <m:oMath>
        <m:r>
          <m:t>U</m:t>
        </m:r>
      </m:oMath>
      <w:r>
        <w:t xml:space="preserve"> </w:t>
      </w:r>
      <w:r>
        <w:t xml:space="preserve">are inversely associated.</w:t>
      </w:r>
      <w:r>
        <w:t xml:space="preserve"> </w:t>
      </w:r>
      <w:r>
        <w:t xml:space="preserve">Because</w:t>
      </w:r>
      <w:r>
        <w:t xml:space="preserve"> </w:t>
      </w:r>
      <m:oMath>
        <m:r>
          <m:t>U</m:t>
        </m:r>
      </m:oMath>
      <w:r>
        <w:t xml:space="preserve"> </w:t>
      </w:r>
      <w:r>
        <w:t xml:space="preserve">is positively associated with death</w:t>
      </w:r>
      <w:r>
        <w:t xml:space="preserve"> </w:t>
      </w:r>
      <m:oMath>
        <m:r>
          <m:t>Y</m:t>
        </m:r>
      </m:oMath>
      <w:r>
        <w:t xml:space="preserve">,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r>
        <w:pict>
          <v:rect style="width:0;height:1.5pt" o:hralign="center" o:hrstd="t" o:hr="t"/>
        </w:pict>
      </w:r>
    </w:p>
    <w:p>
      <w:pPr>
        <w:pStyle w:val="FirstParagraph"/>
      </w:pP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w:t>
      </w:r>
      <w:r>
        <w:t xml:space="preserve"> </w:t>
      </w:r>
      <w:r>
        <w:rPr>
          <w:b/>
          <w:bCs/>
        </w:rPr>
        <w:t xml:space="preserve">M-bias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w:t>
            </w:r>
            <w:r>
              <w:t xml:space="preserve"> </w:t>
            </w:r>
            <w:r>
              <w:t xml:space="preserve">(Hernán and Robins 2020, 111)</w:t>
            </w:r>
            <w:r>
              <w:t xml:space="preserve">.</w:t>
            </w:r>
          </w:p>
          <w:bookmarkEnd w:id="11"/>
        </w:tc>
      </w:tr>
    </w:tbl>
    <w:p>
      <w:pPr>
        <w:pStyle w:val="BodyText"/>
      </w:pPr>
      <w:r>
        <w:t xml:space="preserve">In all of Figures 8.1-8.6, the bias results from selection on a collider.</w:t>
      </w:r>
      <w:r>
        <w:t xml:space="preserve"> </w:t>
      </w:r>
      <w:r>
        <w:t xml:space="preserve">A margin note in the book gives the more general version: one variable is either the treatment or associated with the treatment, and the other is either the outcome or associated with the outcome (Hernán, Hernández-Díaz, and Robins 2004).</w:t>
      </w:r>
      <w:r>
        <w:t xml:space="preserve"> </w:t>
      </w:r>
      <w:r>
        <w:t xml:space="preserve">Conditioning on a descendant of such a collider (Figure 8.2) has the same effect.</w:t>
      </w:r>
    </w:p>
    <w:bookmarkEnd w:id="12"/>
    <w:bookmarkEnd w:id="13"/>
    <w:bookmarkStart w:id="18" w:name="examples-of-selection-bias-pp.-111-112"/>
    <w:p>
      <w:pPr>
        <w:pStyle w:val="Heading2"/>
      </w:pPr>
      <w:r>
        <w:t xml:space="preserve">2 8.2 Examples of Selection Bias (pp. 111-112)</w:t>
      </w:r>
    </w:p>
    <w:p>
      <w:r>
        <w:pict>
          <v:rect style="width:0;height:1.5pt" o:hralign="center" o:hrstd="t" o:hr="t"/>
        </w:pict>
      </w:r>
    </w:p>
    <w:p>
      <w:pPr>
        <w:pStyle w:val="FirstParagraph"/>
      </w:pP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17" w:name="X1d37b40d8379b18d756d9d1e6cf311e51997f05"/>
    <w:p>
      <w:pPr>
        <w:pStyle w:val="Heading3"/>
      </w:pPr>
      <w:r>
        <w:t xml:space="preserve">2.1 Selection Bias in Randomized and Observational, Prospective and Retrospective Studies</w:t>
      </w:r>
    </w:p>
    <w:p>
      <w:pPr>
        <w:pStyle w:val="FirstParagraph"/>
      </w:pPr>
      <w:r>
        <w:t xml:space="preserve">These examples show that selection bias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p>
      <w:pPr>
        <w:pStyle w:val="BodyText"/>
      </w:pPr>
      <w:r>
        <w:rPr>
          <w:b/>
          <w:bCs/>
        </w:rPr>
        <w:t xml:space="preserve">Key difference from confounding</w:t>
      </w:r>
      <w:r>
        <w:t xml:space="preserve">: randomization protects against confounding, but not against selection bias that occurs after randomization.</w:t>
      </w:r>
    </w:p>
    <w:p>
      <w:pPr>
        <w:pStyle w:val="BodyText"/>
      </w:pP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17"/>
    <w:bookmarkEnd w:id="18"/>
    <w:bookmarkStart w:id="23" w:name="X3e9433bde421d6d31be85b5f187cc6c137119d9"/>
    <w:p>
      <w:pPr>
        <w:pStyle w:val="Heading2"/>
      </w:pPr>
      <w:r>
        <w:t xml:space="preserve">3 8.3 Selection Bias and Confounding (pp. 113-114)</w:t>
      </w:r>
    </w:p>
    <w:p>
      <w:r>
        <w:pict>
          <v:rect style="width:0;height:1.5pt" o:hralign="center" o:hrstd="t" o:hr="t"/>
        </w:pict>
      </w:r>
    </w:p>
    <w:p>
      <w:pPr>
        <w:pStyle w:val="FirstParagraph"/>
      </w:pP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19" w:name="the-firefighter-example"/>
    <w:p>
      <w:pPr>
        <w:pStyle w:val="Heading3"/>
      </w:pPr>
      <w:r>
        <w:t xml:space="preserve">3.1 The Firefighter Example</w:t>
      </w:r>
    </w:p>
    <w:p>
      <w:pPr>
        <w:pStyle w:val="FirstParagraph"/>
      </w:pP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differ: conditioning on</w:t>
      </w:r>
      <w:r>
        <w:t xml:space="preserve"> </w:t>
      </w:r>
      <m:oMath>
        <m:r>
          <m:t>C</m:t>
        </m:r>
      </m:oMath>
      <w:r>
        <w:t xml:space="preserve">, a common effect of causes of treatment (</w:t>
      </w:r>
      <m:oMath>
        <m:r>
          <m:t>U</m:t>
        </m:r>
      </m:oMath>
      <w:r>
        <w:t xml:space="preserve">) and of outcome (</w:t>
      </w:r>
      <m:oMath>
        <m:r>
          <m:t>L</m:t>
        </m:r>
      </m:oMath>
      <w:r>
        <w:t xml:space="preserve">), opens</w:t>
      </w:r>
      <w:r>
        <w:t xml:space="preserve"> </w:t>
      </w:r>
      <m:oMath>
        <m:r>
          <m:t>A</m:t>
        </m:r>
        <m:r>
          <m:rPr>
            <m:sty m:val="p"/>
          </m:rPr>
          <m:t>←</m:t>
        </m:r>
        <m:r>
          <m:t>U</m:t>
        </m:r>
        <m:r>
          <m:rPr>
            <m:sty m:val="p"/>
          </m:rPr>
          <m:t>→</m:t>
        </m:r>
        <m:r>
          <m:t>C</m:t>
        </m:r>
        <m:r>
          <m:rPr>
            <m:sty m:val="p"/>
          </m:rPr>
          <m:t>←</m:t>
        </m:r>
        <m:r>
          <m:t>L</m:t>
        </m:r>
        <m:r>
          <m:rPr>
            <m:sty m:val="p"/>
          </m:rPr>
          <m:t>→</m:t>
        </m:r>
        <m:r>
          <m:t>Y</m:t>
        </m:r>
      </m:oMath>
      <w:r>
        <w:t xml:space="preserve">.</w:t>
      </w:r>
    </w:p>
    <w:p>
      <w:r>
        <w:pict>
          <v:rect style="width:0;height:1.5pt" o:hralign="center" o:hrstd="t" o:hr="t"/>
        </w:pict>
      </w:r>
    </w:p>
    <w:p>
      <w:pPr>
        <w:pStyle w:val="FirstParagraph"/>
      </w:pP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 so that g-methods are needed (Part III).</w:t>
      </w:r>
    </w:p>
    <w:p>
      <w:pPr>
        <w:pStyle w:val="Compact"/>
        <w:numPr>
          <w:ilvl w:val="0"/>
          <w:numId w:val="1010"/>
        </w:numPr>
      </w:pPr>
      <w:r>
        <w:t xml:space="preserve">It can inform design even when it does not change the analysis: investigators restricting to firefighters should collect joint risk factors for</w:t>
      </w:r>
      <w:r>
        <w:t xml:space="preserve"> </w:t>
      </w:r>
      <m:oMath>
        <m:r>
          <m:t>Y</m:t>
        </m:r>
      </m:oMath>
      <w:r>
        <w:t xml:space="preserve"> </w:t>
      </w:r>
      <w:r>
        <w:t xml:space="preserve">and</w:t>
      </w:r>
      <w:r>
        <w:t xml:space="preserve"> </w:t>
      </w:r>
      <m:oMath>
        <m:r>
          <m:t>C</m:t>
        </m:r>
      </m:oMath>
      <w:r>
        <w:t xml:space="preserve"> </w:t>
      </w:r>
      <w:r>
        <w:t xml:space="preserve">(as in the first example of Section 7.1).</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 e.g., studies not restricted to firefighters.</w:t>
      </w:r>
    </w:p>
    <w:p>
      <w:pPr>
        <w:pStyle w:val="Compact"/>
        <w:numPr>
          <w:ilvl w:val="0"/>
          <w:numId w:val="1010"/>
        </w:numPr>
      </w:pPr>
      <w:r>
        <w:t xml:space="preserve">Causal diagrams improve communication and reduce misunderstandings.</w:t>
      </w:r>
    </w:p>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19"/>
    <w:bookmarkStart w:id="22"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p>
      <w:pPr>
        <w:pStyle w:val="BodyText"/>
      </w:pPr>
      <w:r>
        <w:t xml:space="preserve">All of this ignores magnitude and direction.</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 (Fine Point 8.2).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Treated survivors of time 1 are less likely than untreated survivors to carry the protective</w:t>
            </w:r>
            <w:r>
              <w:t xml:space="preserve"> </w:t>
            </w:r>
            <m:oMath>
              <m:r>
                <m:t>U</m:t>
              </m:r>
            </m:oMath>
            <w:r>
              <w:t xml:space="preserve"> </w:t>
            </w:r>
            <w:r>
              <w:t xml:space="preserve">(treatment can explain their survival), so they are more likely to die at time 2.</w:t>
            </w:r>
            <w:r>
              <w:t xml:space="preserve"> </w:t>
            </w:r>
            <w:r>
              <w:t xml:space="preserve">The hazard ratio is below 1 at time 1 and above 1 at time 2: the hazards cross.</w:t>
            </w:r>
            <w:r>
              <w:t xml:space="preserve"> </w:t>
            </w:r>
            <w:r>
              <w:t xml:space="preserve">The time-2 hazard ratio is biased for the (null) direct effect 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An unmeasured cause of death that is marginally unassociated with treatment, like</w:t>
            </w:r>
            <w:r>
              <w:t xml:space="preserve"> </w:t>
            </w:r>
            <m:oMath>
              <m:r>
                <m:t>U</m:t>
              </m:r>
            </m:oMath>
            <w:r>
              <w:t xml:space="preserve">, is often called a</w:t>
            </w:r>
            <w:r>
              <w:t xml:space="preserve"> </w:t>
            </w:r>
            <w:r>
              <w:rPr>
                <w:b/>
                <w:bCs/>
              </w:rPr>
              <w:t xml:space="preserve">frailty</w:t>
            </w:r>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That the unconditional hazard ratio differs from these stratum-specific ratios even though</w:t>
            </w:r>
            <w:r>
              <w:t xml:space="preserve"> </w:t>
            </w:r>
            <m:oMath>
              <m:r>
                <m:t>U</m:t>
              </m:r>
            </m:oMath>
            <w:r>
              <w:t xml:space="preserve"> </w:t>
            </w:r>
            <w:r>
              <w:t xml:space="preserve">is independent of</w:t>
            </w:r>
            <w:r>
              <w:t xml:space="preserve"> </w:t>
            </w:r>
            <m:oMath>
              <m:r>
                <m:t>A</m:t>
              </m:r>
            </m:oMath>
            <w:r>
              <w:t xml:space="preserve"> </w:t>
            </w:r>
            <w:r>
              <w:t xml:space="preserve">shows the</w:t>
            </w:r>
            <w:r>
              <w:t xml:space="preserve"> </w:t>
            </w:r>
            <w:r>
              <w:rPr>
                <w:b/>
                <w:bCs/>
              </w:rPr>
              <w:t xml:space="preserve">noncollapsibility</w:t>
            </w:r>
            <w:r>
              <w:t xml:space="preserve"> </w:t>
            </w:r>
            <w:r>
              <w:t xml:space="preserve">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22"/>
    <w:bookmarkEnd w:id="23"/>
    <w:bookmarkStart w:id="26" w:name="selection-bias-and-censoring-pp.-115-116"/>
    <w:p>
      <w:pPr>
        <w:pStyle w:val="Heading2"/>
      </w:pPr>
      <w:r>
        <w:t xml:space="preserve">4 8.4 Selection Bias and Censoring (pp. 115-116)</w:t>
      </w:r>
    </w:p>
    <w:p>
      <w:r>
        <w:pict>
          <v:rect style="width:0;height:1.5pt" o:hralign="center" o:hrstd="t" o:hr="t"/>
        </w:pict>
      </w:r>
    </w:p>
    <w:p>
      <w:pPr>
        <w:pStyle w:val="FirstParagraph"/>
      </w:pP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p>
      <w:r>
        <w:pict>
          <v:rect style="width:0;height:1.5pt" o:hralign="center" o:hrstd="t" o:hr="t"/>
        </w:pict>
      </w:r>
    </w:p>
    <w:p>
      <w:pPr>
        <w:pStyle w:val="FirstParagraph"/>
      </w:pP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from conditioning on the common effect</w:t>
      </w:r>
      <w:r>
        <w:t xml:space="preserve"> </w:t>
      </w:r>
      <m:oMath>
        <m:r>
          <m:t>C</m:t>
        </m:r>
      </m:oMath>
      <w:r>
        <w:t xml:space="preserve">.</w:t>
      </w:r>
    </w:p>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25"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p>
      <w:pPr>
        <w:pStyle w:val="BodyText"/>
      </w:pP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r>
        <w:t xml:space="preserve"> </w:t>
      </w: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 </w:t>
      </w:r>
      <w:r>
        <w:t xml:space="preserve">or the risk difference</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24">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In a causal diagram with no arrow from</w:t>
      </w:r>
      <w:r>
        <w:t xml:space="preserve"> </w:t>
      </w:r>
      <m:oMath>
        <m:r>
          <m:t>C</m:t>
        </m:r>
      </m:oMath>
      <w:r>
        <w:t xml:space="preserve"> </w:t>
      </w:r>
      <w:r>
        <w:t xml:space="preserve">to the observed</w:t>
      </w:r>
      <w:r>
        <w:t xml:space="preserve"> </w:t>
      </w:r>
      <m:oMath>
        <m:r>
          <m:t>Y</m:t>
        </m:r>
      </m:oMath>
      <w:r>
        <w:t xml:space="preserve">, one can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p>
    <w:p>
      <w:r>
        <w:pict>
          <v:rect style="width:0;height:1.5pt" o:hralign="center" o:hrstd="t" o:hr="t"/>
        </w:pict>
      </w:r>
    </w:p>
    <w:p>
      <w:pPr>
        <w:pStyle w:val="FirstParagraph"/>
      </w:pPr>
      <w:r>
        <w:t xml:space="preserve">With the contrast written in terms of</w:t>
      </w:r>
      <w:r>
        <w:t xml:space="preserve"> </w:t>
      </w:r>
      <m:oMath>
        <m:sSup>
          <m:e>
            <m:r>
              <m:t>Y</m:t>
            </m:r>
          </m:e>
          <m:sup>
            <m:r>
              <m:t>a</m:t>
            </m:r>
            <m:r>
              <m:rPr>
                <m:sty m:val="p"/>
              </m:rPr>
              <m:t>,</m:t>
            </m:r>
            <m:r>
              <m:t>c</m:t>
            </m:r>
            <m:r>
              <m:rPr>
                <m:sty m:val="p"/>
              </m:rPr>
              <m:t>=</m:t>
            </m:r>
            <m:r>
              <m:t>0</m:t>
            </m:r>
          </m:sup>
        </m:sSup>
      </m:oMath>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 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25"/>
    <w:bookmarkEnd w:id="26"/>
    <w:bookmarkStart w:id="31" w:name="Xb94b349dba98f1ce9ed8a0e97ab543735a1645e"/>
    <w:p>
      <w:pPr>
        <w:pStyle w:val="Heading2"/>
      </w:pPr>
      <w:r>
        <w:t xml:space="preserve">5 8.5 How to Adjust for Selection Bias (pp. 117-120)</w:t>
      </w:r>
    </w:p>
    <w:p>
      <w:r>
        <w:pict>
          <v:rect style="width:0;height:1.5pt" o:hralign="center" o:hrstd="t" o:hr="t"/>
        </w:pict>
      </w:r>
    </w:p>
    <w:p>
      <w:pPr>
        <w:pStyle w:val="FirstParagraph"/>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r>
        <w:pict>
          <v:rect style="width:0;height:1.5pt" o:hralign="center" o:hrstd="t" o:hr="t"/>
        </w:pict>
      </w:r>
    </w:p>
    <w:bookmarkStart w:id="27" w:name="X0b7b1cc7f0d0ad653c82dfef390accd097dc66c"/>
    <w:p>
      <w:pPr>
        <w:pStyle w:val="Heading3"/>
      </w:pPr>
      <w:r>
        <w:t xml:space="preserve">5.1 Inverse Probability Weighting for Selection Bias</w:t>
      </w:r>
    </w:p>
    <w:p>
      <w:pPr>
        <w:pStyle w:val="FirstParagraph"/>
      </w:pPr>
      <w:r>
        <w:t xml:space="preserve">IP weighting (or standardization) can do this.</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27"/>
    <w:bookmarkStart w:id="28" w:name="X584811cb6267e4341d1273cdafcc126a9ca7447"/>
    <w:p>
      <w:pPr>
        <w:pStyle w:val="Heading3"/>
      </w:pPr>
      <w:r>
        <w:t xml:space="preserve">5.2 The Wasabi Trial: IP Weighting in Practice</w:t>
      </w:r>
    </w:p>
    <w:p>
      <w:pPr>
        <w:pStyle w:val="FirstParagraph"/>
      </w:pP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p>
      <w:r>
        <w:pict>
          <v:rect style="width:0;height:1.5pt" o:hralign="center" o:hrstd="t" o:hr="t"/>
        </w:pict>
      </w:r>
    </w:p>
    <w:p>
      <w:pPr>
        <w:pStyle w:val="FirstParagraph"/>
      </w:pPr>
      <w:r>
        <w:t xml:space="preserve">The remaining branch follows from the totals in Section 8.4:</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p>
      <w:pPr>
        <w:pStyle w:val="FirstParagraph"/>
      </w:pPr>
      <w:r>
        <w:t xml:space="preserve">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for each branch are therefore: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L</m:t>
              </m:r>
            </m:oMath>
            <w:r>
              <w:t xml:space="preserve">​</w:t>
            </w:r>
          </w:p>
        </w:tc>
        <w:tc>
          <w:tcPr/>
          <w:p>
            <w:pPr>
              <w:pStyle w:val="Compact"/>
              <w:jc w:val="center"/>
            </w:pPr>
            <m:oMath>
              <m:r>
                <m:t>A</m:t>
              </m:r>
            </m:oMath>
            <w:r>
              <w:t xml:space="preserve">​</w:t>
            </w:r>
          </w:p>
        </w:tc>
        <w:tc>
          <w:tcPr/>
          <w:p>
            <w:pPr>
              <w:pStyle w:val="Compact"/>
              <w:jc w:val="center"/>
            </w:pPr>
            <w:r>
              <w:t xml:space="preserve">uncensored / total</w:t>
            </w:r>
          </w:p>
        </w:tc>
        <w:tc>
          <w:tcPr/>
          <w:p>
            <w:pPr>
              <w:pStyle w:val="Compact"/>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pPr>
            <m:oMath>
              <m:sSup>
                <m:e>
                  <m:r>
                    <m:t>W</m:t>
                  </m:r>
                </m:e>
                <m:sup>
                  <m:r>
                    <m:t>C</m:t>
                  </m:r>
                </m:sup>
              </m:sSup>
            </m:oMath>
            <w:r>
              <w:t xml:space="preserve">​</w:t>
            </w:r>
          </w:p>
        </w:tc>
        <w:tc>
          <w:tcPr/>
          <w:p>
            <w:pPr>
              <w:pStyle w:val="Compact"/>
              <w:jc w:val="center"/>
            </w:pPr>
            <w:r>
              <w:t xml:space="preserve">weighted count</w:t>
            </w:r>
          </w:p>
        </w:tc>
      </w:tr>
      <w:tr>
        <w:tc>
          <w:tcPr/>
          <w:p>
            <w:pPr>
              <w:pStyle w:val="Compact"/>
              <w:jc w:val="center"/>
            </w:pPr>
            <w:r>
              <w:t xml:space="preserve">0</w:t>
            </w:r>
          </w:p>
        </w:tc>
        <w:tc>
          <w:tcPr/>
          <w:p>
            <w:pPr>
              <w:pStyle w:val="Compact"/>
              <w:jc w:val="center"/>
            </w:pPr>
            <w:r>
              <w:t xml:space="preserve">0</w:t>
            </w:r>
          </w:p>
        </w:tc>
        <w:tc>
          <w:tcPr/>
          <w:p>
            <w:pPr>
              <w:pStyle w:val="Compact"/>
              <w:jc w:val="center"/>
            </w:pPr>
            <w:r>
              <w:t xml:space="preserve">10/10</w:t>
            </w:r>
          </w:p>
        </w:tc>
        <w:tc>
          <w:tcPr/>
          <w:p>
            <w:pPr>
              <w:pStyle w:val="Compact"/>
              <w:jc w:val="center"/>
            </w:pPr>
            <w:r>
              <w:t xml:space="preserve">1</w:t>
            </w:r>
          </w:p>
        </w:tc>
        <w:tc>
          <w:tcPr/>
          <w:p>
            <w:pPr>
              <w:pStyle w:val="Compact"/>
              <w:jc w:val="center"/>
            </w:pPr>
            <w:r>
              <w:t xml:space="preserve">1</w:t>
            </w:r>
          </w:p>
        </w:tc>
        <w:tc>
          <w:tcPr/>
          <w:p>
            <w:pPr>
              <w:pStyle w:val="Compact"/>
              <w:jc w:val="center"/>
            </w:pPr>
            <m:oMath>
              <m:r>
                <m:t>10</m:t>
              </m:r>
              <m:r>
                <m:rPr>
                  <m:sty m:val="p"/>
                </m:rPr>
                <m:t>×</m:t>
              </m:r>
              <m:r>
                <m:t>1</m:t>
              </m:r>
              <m:r>
                <m:rPr>
                  <m:sty m:val="p"/>
                </m:rPr>
                <m:t>=</m:t>
              </m:r>
              <m:r>
                <m:t>10</m:t>
              </m:r>
            </m:oMath>
            <w:r>
              <w:t xml:space="preserve">​</w:t>
            </w:r>
          </w:p>
        </w:tc>
      </w:tr>
      <w:tr>
        <w:tc>
          <w:tcPr/>
          <w:p>
            <w:pPr>
              <w:pStyle w:val="Compact"/>
              <w:jc w:val="center"/>
            </w:pPr>
            <w:r>
              <w:t xml:space="preserve">0</w:t>
            </w:r>
          </w:p>
        </w:tc>
        <w:tc>
          <w:tcPr/>
          <w:p>
            <w:pPr>
              <w:pStyle w:val="Compact"/>
              <w:jc w:val="center"/>
            </w:pPr>
            <w:r>
              <w:t xml:space="preserve">1</w:t>
            </w:r>
          </w:p>
        </w:tc>
        <w:tc>
          <w:tcPr/>
          <w:p>
            <w:pPr>
              <w:pStyle w:val="Compact"/>
              <w:jc w:val="center"/>
            </w:pPr>
            <w:r>
              <w:t xml:space="preserve">5/10</w:t>
            </w:r>
          </w:p>
        </w:tc>
        <w:tc>
          <w:tcPr/>
          <w:p>
            <w:pPr>
              <w:pStyle w:val="Compact"/>
              <w:jc w:val="center"/>
            </w:pPr>
            <w:r>
              <w:t xml:space="preserve">0.5</w:t>
            </w:r>
          </w:p>
        </w:tc>
        <w:tc>
          <w:tcPr/>
          <w:p>
            <w:pPr>
              <w:pStyle w:val="Compact"/>
              <w:jc w:val="center"/>
            </w:pPr>
            <w:r>
              <w:t xml:space="preserve">2</w:t>
            </w:r>
          </w:p>
        </w:tc>
        <w:tc>
          <w:tcPr/>
          <w:p>
            <w:pPr>
              <w:pStyle w:val="Compact"/>
              <w:jc w:val="center"/>
            </w:pPr>
            <m:oMath>
              <m:r>
                <m:t>5</m:t>
              </m:r>
              <m:r>
                <m:rPr>
                  <m:sty m:val="p"/>
                </m:rPr>
                <m:t>×</m:t>
              </m:r>
              <m:r>
                <m:t>2</m:t>
              </m:r>
              <m:r>
                <m:rPr>
                  <m:sty m:val="p"/>
                </m:rPr>
                <m:t>=</m:t>
              </m:r>
              <m:r>
                <m:t>10</m:t>
              </m:r>
            </m:oMath>
            <w:r>
              <w:t xml:space="preserve">​</w:t>
            </w:r>
          </w:p>
        </w:tc>
      </w:tr>
      <w:tr>
        <w:tc>
          <w:tcPr/>
          <w:p>
            <w:pPr>
              <w:pStyle w:val="Compact"/>
              <w:jc w:val="center"/>
            </w:pPr>
            <w:r>
              <w:t xml:space="preserve">1</w:t>
            </w:r>
          </w:p>
        </w:tc>
        <w:tc>
          <w:tcPr/>
          <w:p>
            <w:pPr>
              <w:pStyle w:val="Compact"/>
              <w:jc w:val="center"/>
            </w:pPr>
            <w:r>
              <w:t xml:space="preserve">0</w:t>
            </w:r>
          </w:p>
        </w:tc>
        <w:tc>
          <w:tcPr/>
          <w:p>
            <w:pPr>
              <w:pStyle w:val="Compact"/>
              <w:jc w:val="center"/>
            </w:pPr>
            <w:r>
              <w:t xml:space="preserve">12/20</w:t>
            </w:r>
          </w:p>
        </w:tc>
        <w:tc>
          <w:tcPr/>
          <w:p>
            <w:pPr>
              <w:pStyle w:val="Compact"/>
              <w:jc w:val="center"/>
            </w:pPr>
            <w:r>
              <w:t xml:space="preserve">0.6</w:t>
            </w:r>
          </w:p>
        </w:tc>
        <w:tc>
          <w:tcPr/>
          <w:p>
            <w:pPr>
              <w:pStyle w:val="Compact"/>
              <w:jc w:val="center"/>
            </w:pPr>
            <m:oMath>
              <m:r>
                <m:t>5</m:t>
              </m:r>
              <m:r>
                <m:rPr>
                  <m:sty m:val="p"/>
                </m:rPr>
                <m:t>/</m:t>
              </m:r>
              <m:r>
                <m:t>3</m:t>
              </m:r>
            </m:oMath>
            <w:r>
              <w:t xml:space="preserve">​</w:t>
            </w:r>
          </w:p>
        </w:tc>
        <w:tc>
          <w:tcPr/>
          <w:p>
            <w:pPr>
              <w:pStyle w:val="Compact"/>
              <w:jc w:val="center"/>
            </w:pPr>
            <m:oMath>
              <m:r>
                <m:t>12</m:t>
              </m:r>
              <m:r>
                <m:rPr>
                  <m:sty m:val="p"/>
                </m:rPr>
                <m:t>×</m:t>
              </m:r>
              <m:r>
                <m:t>5</m:t>
              </m:r>
              <m:r>
                <m:rPr>
                  <m:sty m:val="p"/>
                </m:rPr>
                <m:t>/</m:t>
              </m:r>
              <m:r>
                <m:t>3</m:t>
              </m:r>
              <m:r>
                <m:rPr>
                  <m:sty m:val="p"/>
                </m:rPr>
                <m:t>=</m:t>
              </m:r>
              <m:r>
                <m:t>20</m:t>
              </m:r>
            </m:oMath>
            <w:r>
              <w:t xml:space="preserve">​</w:t>
            </w:r>
          </w:p>
        </w:tc>
      </w:tr>
      <w:tr>
        <w:tc>
          <w:tcPr/>
          <w:p>
            <w:pPr>
              <w:pStyle w:val="Compact"/>
              <w:jc w:val="center"/>
            </w:pPr>
            <w:r>
              <w:t xml:space="preserve">1</w:t>
            </w:r>
          </w:p>
        </w:tc>
        <w:tc>
          <w:tcPr/>
          <w:p>
            <w:pPr>
              <w:pStyle w:val="Compact"/>
              <w:jc w:val="center"/>
            </w:pPr>
            <w:r>
              <w:t xml:space="preserve">1</w:t>
            </w:r>
          </w:p>
        </w:tc>
        <w:tc>
          <w:tcPr/>
          <w:p>
            <w:pPr>
              <w:pStyle w:val="Compact"/>
              <w:jc w:val="center"/>
            </w:pPr>
            <w:r>
              <w:t xml:space="preserve">4/20</w:t>
            </w:r>
          </w:p>
        </w:tc>
        <w:tc>
          <w:tcPr/>
          <w:p>
            <w:pPr>
              <w:pStyle w:val="Compact"/>
              <w:jc w:val="center"/>
            </w:pPr>
            <w:r>
              <w:t xml:space="preserve">0.2</w:t>
            </w:r>
          </w:p>
        </w:tc>
        <w:tc>
          <w:tcPr/>
          <w:p>
            <w:pPr>
              <w:pStyle w:val="Compact"/>
              <w:jc w:val="center"/>
            </w:pPr>
            <w:r>
              <w:t xml:space="preserve">5</w:t>
            </w:r>
          </w:p>
        </w:tc>
        <w:tc>
          <w:tcPr/>
          <w:p>
            <w:pPr>
              <w:pStyle w:val="Compact"/>
              <w:jc w:val="center"/>
            </w:pPr>
            <m:oMath>
              <m:r>
                <m:t>4</m:t>
              </m:r>
              <m:r>
                <m:rPr>
                  <m:sty m:val="p"/>
                </m:rPr>
                <m:t>×</m:t>
              </m:r>
              <m:r>
                <m:t>5</m:t>
              </m:r>
              <m:r>
                <m:rPr>
                  <m:sty m:val="p"/>
                </m:rPr>
                <m:t>=</m:t>
              </m:r>
              <m:r>
                <m:t>20</m:t>
              </m:r>
            </m:oMath>
            <w:r>
              <w:t xml:space="preserve">​</w:t>
            </w:r>
          </w:p>
        </w:tc>
      </w:tr>
    </w:tbl>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p>
      <w:pPr>
        <w:pStyle w:val="FirstParagraph"/>
      </w:pP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 and each of the 4 uncensored individuals gets weight</w:t>
      </w:r>
      <w:r>
        <w:t xml:space="preserve"> </w:t>
      </w:r>
      <m:oMath>
        <m:r>
          <m:t>1</m:t>
        </m:r>
        <m:r>
          <m:rPr>
            <m:sty m:val="p"/>
          </m:rPr>
          <m:t>/</m:t>
        </m:r>
        <m:r>
          <m:t>0.2</m:t>
        </m:r>
        <m:r>
          <m:rPr>
            <m:sty m:val="p"/>
          </m:rPr>
          <m:t>=</m:t>
        </m:r>
        <m:r>
          <m:t>5</m:t>
        </m:r>
      </m:oMath>
      <w:r>
        <w:t xml:space="preserve">: 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 equal to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the risk ratio had nobody been censored.</w:t>
      </w:r>
    </w:p>
    <w:p>
      <w:r>
        <w:pict>
          <v:rect style="width:0;height:1.5pt" o:hralign="center" o:hrstd="t" o:hr="t"/>
        </w:pict>
      </w:r>
    </w:p>
    <w:bookmarkEnd w:id="28"/>
    <w:bookmarkStart w:id="29" w:name="Xc0b4878e15a87d693d57e660d757d90b822007c"/>
    <w:p>
      <w:pPr>
        <w:pStyle w:val="Heading3"/>
      </w:pPr>
      <w:r>
        <w:t xml:space="preserve">5.3 Identifiability Conditions for IP Weighting</w:t>
      </w:r>
    </w:p>
    <w:p>
      <w:pPr>
        <w:pStyle w:val="FirstParagraph"/>
      </w:pPr>
      <w:r>
        <w:t xml:space="preserve">The association in the pseudo-population equals the effect in the original population if three conditions hold:</w:t>
      </w:r>
    </w:p>
    <w:p>
      <w:pPr>
        <w:pStyle w:val="Compact"/>
        <w:numPr>
          <w:ilvl w:val="0"/>
          <w:numId w:val="1015"/>
        </w:numPr>
      </w:pPr>
      <w:r>
        <w:rPr>
          <w:b/>
          <w:bCs/>
        </w:rPr>
        <w:t xml:space="preserve">Exchangeability</w:t>
      </w:r>
      <w:r>
        <w:t xml:space="preserve">: the average outcome of the uncensored equals the (unobserved) average outcome of the censored with the same</w:t>
      </w:r>
      <w:r>
        <w:t xml:space="preserve"> </w:t>
      </w:r>
      <m:oMath>
        <m:r>
          <m:t>A</m:t>
        </m:r>
      </m:oMath>
      <w:r>
        <w:t xml:space="preserve"> </w:t>
      </w:r>
      <w:r>
        <w:t xml:space="preserve">and</w:t>
      </w:r>
      <w:r>
        <w:t xml:space="preserve"> </w:t>
      </w:r>
      <m:oMath>
        <m:r>
          <m:t>L</m:t>
        </m:r>
      </m:oMath>
      <w:r>
        <w:t xml:space="preserve">.</w:t>
      </w:r>
      <w:r>
        <w:t xml:space="preserve"> </w:t>
      </w:r>
      <w:r>
        <w:t xml:space="preserve">This holds if</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conditions on treatment and on all factors that independently predict both selection and the outcome, i.e., if</w:t>
      </w:r>
      <w:r>
        <w:t xml:space="preserve"> </w:t>
      </w:r>
      <m:oMath>
        <m:r>
          <m:t>A</m:t>
        </m:r>
      </m:oMath>
      <w:r>
        <w:t xml:space="preserve"> </w:t>
      </w:r>
      <w:r>
        <w:t xml:space="preserve">and</w:t>
      </w:r>
      <w:r>
        <w:t xml:space="preserve"> </w:t>
      </w:r>
      <m:oMath>
        <m:r>
          <m:t>L</m:t>
        </m:r>
      </m:oMath>
      <w:r>
        <w:t xml:space="preserve"> </w:t>
      </w:r>
      <w:r>
        <w:t xml:space="preserve">block all backdoor paths between</w:t>
      </w:r>
      <w:r>
        <w:t xml:space="preserve"> </w:t>
      </w:r>
      <m:oMath>
        <m:r>
          <m:t>C</m:t>
        </m:r>
      </m:oMath>
      <w:r>
        <w:t xml:space="preserve"> </w:t>
      </w:r>
      <w:r>
        <w:t xml:space="preserve">and</w:t>
      </w:r>
      <w:r>
        <w:t xml:space="preserve"> </w:t>
      </w:r>
      <m:oMath>
        <m:r>
          <m:t>Y</m:t>
        </m:r>
      </m:oMath>
      <w:r>
        <w:t xml:space="preserve">.</w:t>
      </w:r>
      <w:r>
        <w:t xml:space="preserve"> </w:t>
      </w:r>
      <w:r>
        <w:t xml:space="preserve">We can never be sure that</w:t>
      </w:r>
      <w:r>
        <w:t xml:space="preserve"> </w:t>
      </w:r>
      <m:oMath>
        <m:r>
          <m:t>L</m:t>
        </m:r>
      </m:oMath>
      <w:r>
        <w:t xml:space="preserve"> </w:t>
      </w:r>
      <w:r>
        <w:t xml:space="preserve">contains all such factors, so this assumption is untestable.</w:t>
      </w:r>
    </w:p>
    <w:p>
      <w:pPr>
        <w:pStyle w:val="Compact"/>
        <w:numPr>
          <w:ilvl w:val="0"/>
          <w:numId w:val="1015"/>
        </w:numPr>
      </w:pPr>
      <w:r>
        <w:rPr>
          <w:b/>
          <w:bCs/>
        </w:rPr>
        <w:t xml:space="preserve">Positivity</w:t>
      </w:r>
      <w:r>
        <w:t xml:space="preserv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values of</w:t>
      </w:r>
      <w:r>
        <w:t xml:space="preserve"> </w:t>
      </w:r>
      <m:oMath>
        <m:r>
          <m:t>A</m:t>
        </m:r>
      </m:oMath>
      <w:r>
        <w:t xml:space="preserve"> </w:t>
      </w:r>
      <w:r>
        <w:t xml:space="preserve">and</w:t>
      </w:r>
      <w:r>
        <w:t xml:space="preserve"> </w:t>
      </w:r>
      <m:oMath>
        <m:r>
          <m:t>L</m:t>
        </m:r>
      </m:oMath>
      <w:r>
        <w:t xml:space="preserve">.</w:t>
      </w:r>
      <w:r>
        <w:t xml:space="preserve"> </w:t>
      </w:r>
      <w:r>
        <w:t xml:space="preserve">Positivity is required for being uncensored, not for being censored: we do not want a pseudo-population in which everybody is censored.</w:t>
      </w:r>
      <w:r>
        <w:t xml:space="preserve"> </w:t>
      </w:r>
      <w:r>
        <w:t xml:space="preserve">In Figure 8.10,</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 and that zero does not prevent constructing a pseudo-population in which nobody is censored.</w:t>
      </w:r>
    </w:p>
    <w:p>
      <w:pPr>
        <w:pStyle w:val="Compact"/>
        <w:numPr>
          <w:ilvl w:val="0"/>
          <w:numId w:val="1015"/>
        </w:numPr>
      </w:pPr>
      <w:r>
        <w:rPr>
          <w:b/>
          <w:bCs/>
        </w:rPr>
        <w:t xml:space="preserve">Consistency</w:t>
      </w:r>
      <w:r>
        <w:t xml:space="preserve">, including sufficiently well-defined interventions: the pseudo-population effect is the effect had nobody been censored.</w:t>
      </w:r>
      <w:r>
        <w:t xml:space="preserve"> </w:t>
      </w:r>
      <w:r>
        <w:t xml:space="preserve">That is reasonably well defined when censoring is loss to follow-up or nonresponse, but not when censoring is a</w:t>
      </w:r>
      <w:r>
        <w:t xml:space="preserve"> </w:t>
      </w:r>
      <w:r>
        <w:rPr>
          <w:b/>
          <w:bCs/>
        </w:rPr>
        <w:t xml:space="preserve">competing event</w:t>
      </w:r>
      <w:r>
        <w:t xml:space="preserve">.</w:t>
      </w:r>
    </w:p>
    <w:p>
      <w:pPr>
        <w:pStyle w:val="FirstParagraph"/>
      </w:pPr>
      <w:r>
        <w:t xml:space="preserve">A competing event is an event that prevents the outcome of interest from happening, typically death.</w:t>
      </w:r>
      <w:r>
        <w:t xml:space="preserve"> </w:t>
      </w: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r>
        <w:pict>
          <v:rect style="width:0;height:1.5pt" o:hralign="center" o:hrstd="t" o:hr="t"/>
        </w:pict>
      </w:r>
    </w:p>
    <w:bookmarkEnd w:id="29"/>
    <w:bookmarkStart w:id="30"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r>
        <w:t xml:space="preserve">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so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can be interpreted as the effect of treatment among the uncensored with</w:t>
      </w:r>
      <w:r>
        <w:t xml:space="preserve"> </w:t>
      </w:r>
      <m:oMath>
        <m:r>
          <m:t>L</m:t>
        </m:r>
        <m:r>
          <m:rPr>
            <m:sty m:val="p"/>
          </m:rPr>
          <m:t>=</m:t>
        </m:r>
        <m:r>
          <m:t>l</m:t>
        </m:r>
      </m:oMath>
      <w:r>
        <w:t xml:space="preserve">.</w:t>
      </w:r>
      <w:r>
        <w:t xml:space="preserve"> </w:t>
      </w:r>
      <w:r>
        <w:t xml:space="preserve">For the same reason, under the null, stratification also works under Figure 8.5.</w:t>
      </w:r>
    </w:p>
    <w:p>
      <w:pPr>
        <w:pStyle w:val="BodyText"/>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generally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30"/>
    <w:bookmarkEnd w:id="31"/>
    <w:bookmarkStart w:id="37" w:name="selection-without-bias-pp.-121-123"/>
    <w:p>
      <w:pPr>
        <w:pStyle w:val="Heading2"/>
      </w:pPr>
      <w:r>
        <w:t xml:space="preserve">6 8.6 Selection Without Bias (pp. 121-123)</w:t>
      </w:r>
    </w:p>
    <w:p>
      <w:r>
        <w:pict>
          <v:rect style="width:0;height:1.5pt" o:hralign="center" o:hrstd="t" o:hr="t"/>
        </w:pict>
      </w:r>
    </w:p>
    <w:p>
      <w:pPr>
        <w:pStyle w:val="FirstParagraph"/>
      </w:pP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6"/>
        </w:numPr>
      </w:pPr>
      <w:r>
        <w:t xml:space="preserve">marginally independent: surgery is equally likely with and without the haplotype;</w:t>
      </w:r>
    </w:p>
    <w:p>
      <w:pPr>
        <w:pStyle w:val="Compact"/>
        <w:numPr>
          <w:ilvl w:val="0"/>
          <w:numId w:val="1016"/>
        </w:numPr>
      </w:pPr>
      <w:r>
        <w:t xml:space="preserve">associated conditionally on</w:t>
      </w:r>
      <w:r>
        <w:t xml:space="preserve"> </w:t>
      </w:r>
      <m:oMath>
        <m:r>
          <m:t>Y</m:t>
        </m:r>
      </m:oMath>
      <w:r>
        <w:t xml:space="preserve">: e.g., among survivors (</w:t>
      </w:r>
      <m:oMath>
        <m:r>
          <m:t>Y</m:t>
        </m:r>
        <m:r>
          <m:rPr>
            <m:sty m:val="p"/>
          </m:rPr>
          <m:t>=</m:t>
        </m:r>
        <m:r>
          <m:t>0</m:t>
        </m:r>
      </m:oMath>
      <w:r>
        <w:t xml:space="preserve">), the probability of surgery varies by haplotype.</w:t>
      </w:r>
    </w:p>
    <w:p>
      <w:pPr>
        <w:pStyle w:val="FirstParagraph"/>
      </w:pPr>
      <w:r>
        <w:t xml:space="preserve">Conditioning on a common effect</w:t>
      </w:r>
      <w:r>
        <w:t xml:space="preserve"> </w:t>
      </w:r>
      <m:oMath>
        <m:r>
          <m:t>Y</m:t>
        </m:r>
      </m:oMath>
      <w:r>
        <w:t xml:space="preserve"> </w:t>
      </w:r>
      <w:r>
        <w:t xml:space="preserve">of two independent causes always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p>
      <w:r>
        <w:pict>
          <v:rect style="width:0;height:1.5pt" o:hralign="center" o:hrstd="t" o:hr="t"/>
        </w:pict>
      </w:r>
    </w:p>
    <w:bookmarkStart w:id="36"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7"/>
        </w:numPr>
      </w:pPr>
      <m:oMath>
        <m:sSub>
          <m:e>
            <m:r>
              <m:t>Y</m:t>
            </m:r>
          </m:e>
          <m:sub>
            <m:r>
              <m:t>A</m:t>
            </m:r>
          </m:sub>
        </m:sSub>
      </m:oMath>
      <w:r>
        <w:t xml:space="preserve">: death from tumor;</w:t>
      </w:r>
    </w:p>
    <w:p>
      <w:pPr>
        <w:pStyle w:val="Compact"/>
        <w:numPr>
          <w:ilvl w:val="0"/>
          <w:numId w:val="1017"/>
        </w:numPr>
      </w:pPr>
      <m:oMath>
        <m:sSub>
          <m:e>
            <m:r>
              <m:t>Y</m:t>
            </m:r>
          </m:e>
          <m:sub>
            <m:r>
              <m:t>E</m:t>
            </m:r>
          </m:sub>
        </m:sSub>
      </m:oMath>
      <w:r>
        <w:t xml:space="preserve">: death from heart attack;</w:t>
      </w:r>
    </w:p>
    <w:p>
      <w:pPr>
        <w:pStyle w:val="Compact"/>
        <w:numPr>
          <w:ilvl w:val="0"/>
          <w:numId w:val="1017"/>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p>
      <w:r>
        <w:pict>
          <v:rect style="width:0;height:1.5pt" o:hralign="center" o:hrstd="t" o:hr="t"/>
        </w:pict>
      </w:r>
    </w:p>
    <w:p>
      <w:pPr>
        <w:pStyle w:val="FirstParagraph"/>
      </w:pP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8"/>
        </w:numPr>
      </w:pPr>
      <w:r>
        <w:rPr>
          <w:b/>
          <w:bCs/>
        </w:rPr>
        <w:t xml:space="preserve">Given</w:t>
      </w:r>
      <w:r>
        <w:rPr>
          <w:b/>
          <w:bCs/>
        </w:rPr>
        <w:t xml:space="preserve"> </w:t>
      </w:r>
      <m:oMath>
        <m:r>
          <m:t>Y</m:t>
        </m:r>
        <m:r>
          <m:rPr>
            <m:sty m:val="p"/>
          </m:rPr>
          <m:t>=</m:t>
        </m:r>
        <m:r>
          <m:t>0</m:t>
        </m:r>
      </m:oMath>
      <w:r>
        <w:t xml:space="preserve">:</w:t>
      </w:r>
      <w:r>
        <w:t xml:space="preserve"> </w:t>
      </w:r>
      <m:oMath>
        <m:r>
          <m:t>Y</m:t>
        </m:r>
        <m:r>
          <m:rPr>
            <m:sty m:val="p"/>
          </m:rPr>
          <m:t>=</m:t>
        </m:r>
        <m:r>
          <m:t>0</m:t>
        </m:r>
      </m:oMath>
      <w:r>
        <w:t xml:space="preserve"> </w:t>
      </w:r>
      <w:r>
        <w:t xml:space="preserve">implies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 so conditioning on</w:t>
      </w:r>
      <w:r>
        <w:t xml:space="preserve"> </w:t>
      </w:r>
      <m:oMath>
        <m:r>
          <m:t>Y</m:t>
        </m:r>
        <m:r>
          <m:rPr>
            <m:sty m:val="p"/>
          </m:rPr>
          <m:t>=</m:t>
        </m:r>
        <m:r>
          <m:t>0</m:t>
        </m:r>
      </m:oMath>
      <w:r>
        <w:t xml:space="preserve"> </w:t>
      </w:r>
      <w:r>
        <w:t xml:space="preserve">also conditions on the non-colliders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which blocks the path between</w:t>
      </w:r>
      <w:r>
        <w:t xml:space="preserve"> </w:t>
      </w:r>
      <m:oMath>
        <m:r>
          <m:t>A</m:t>
        </m:r>
      </m:oMath>
      <w:r>
        <w:t xml:space="preserve"> </w:t>
      </w:r>
      <w:r>
        <w:t xml:space="preserve">and</w:t>
      </w:r>
      <w:r>
        <w:t xml:space="preserve"> </w:t>
      </w:r>
      <m:oMath>
        <m:r>
          <m:t>E</m:t>
        </m:r>
      </m:oMath>
      <w:r>
        <w:t xml:space="preserve">.</w:t>
      </w:r>
      <w:r>
        <w:t xml:space="preserve"> </w:t>
      </w:r>
      <w:r>
        <w:t xml:space="preserve">By d-separation in Figure 8.13,</w:t>
      </w:r>
      <w:r>
        <w:t xml:space="preserve"> </w:t>
      </w:r>
      <m:oMath>
        <m:r>
          <m:t>A</m:t>
        </m:r>
      </m:oMath>
      <w:r>
        <w:t xml:space="preserve"> </w:t>
      </w:r>
      <w:r>
        <w:t xml:space="preserve">and</w:t>
      </w:r>
      <w:r>
        <w:t xml:space="preserve"> </w:t>
      </w:r>
      <m:oMath>
        <m:r>
          <m:t>E</m:t>
        </m:r>
      </m:oMath>
      <w:r>
        <w:t xml:space="preserve"> </w:t>
      </w:r>
      <w:r>
        <w:t xml:space="preserve">are independent given</w:t>
      </w:r>
      <w:r>
        <w:t xml:space="preserve"> </w:t>
      </w:r>
      <m:oMath>
        <m:r>
          <m:t>Y</m:t>
        </m:r>
        <m:r>
          <m:rPr>
            <m:sty m:val="p"/>
          </m:rPr>
          <m:t>=</m:t>
        </m:r>
        <m:r>
          <m:t>0</m:t>
        </m:r>
      </m:oMath>
      <w:r>
        <w:t xml:space="preserve">.</w:t>
      </w:r>
    </w:p>
    <w:p>
      <w:pPr>
        <w:pStyle w:val="Compact"/>
        <w:numPr>
          <w:ilvl w:val="0"/>
          <w:numId w:val="1018"/>
        </w:numPr>
      </w:pPr>
      <w:r>
        <w:rPr>
          <w:b/>
          <w:bCs/>
        </w:rPr>
        <w:t xml:space="preserve">Given</w:t>
      </w:r>
      <w:r>
        <w:rPr>
          <w:b/>
          <w:bCs/>
        </w:rPr>
        <w:t xml:space="preserve"> </w:t>
      </w:r>
      <m:oMath>
        <m:r>
          <m:t>Y</m:t>
        </m:r>
        <m:r>
          <m:rPr>
            <m:sty m:val="p"/>
          </m:rPr>
          <m:t>=</m:t>
        </m:r>
        <m:r>
          <m:t>1</m:t>
        </m:r>
      </m:oMath>
      <w:r>
        <w:t xml:space="preserve">:</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 so it does not fix their values;</w:t>
      </w:r>
      <w:r>
        <w:t xml:space="preserve"> </w:t>
      </w:r>
      <w:r>
        <w:t xml:space="preserve">the path through</w:t>
      </w:r>
      <w:r>
        <w:t xml:space="preserve"> </w:t>
      </w:r>
      <m:oMath>
        <m:r>
          <m:t>Y</m:t>
        </m:r>
      </m:oMath>
      <w:r>
        <w:t xml:space="preserve"> </w:t>
      </w:r>
      <w:r>
        <w:t xml:space="preserve">stays open and</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p>
      <w:pPr>
        <w:pStyle w:val="FirstParagraph"/>
      </w:pPr>
      <w:r>
        <w:t xml:space="preserve">When the data can be summarized by Figure 8.13, they follow a</w:t>
      </w:r>
      <w:r>
        <w:t xml:space="preserve"> </w:t>
      </w:r>
      <w:r>
        <w:rPr>
          <w:b/>
          <w:bCs/>
        </w:rPr>
        <w:t xml:space="preserve">multiplicative survival model</w:t>
      </w:r>
      <w:r>
        <w:t xml:space="preserve"> </w:t>
      </w:r>
      <w:r>
        <w:t xml:space="preserve">(Technical Point 8.2).</w:t>
      </w:r>
    </w:p>
    <w:p>
      <w:pPr>
        <w:pStyle w:val="BodyText"/>
      </w:pPr>
      <m:oMath>
        <m:r>
          <m:t>A</m:t>
        </m:r>
      </m:oMath>
      <w:r>
        <w:t xml:space="preserve"> </w:t>
      </w:r>
      <w:r>
        <w:t xml:space="preserve">and</w:t>
      </w:r>
      <w:r>
        <w:t xml:space="preserve"> </w:t>
      </w:r>
      <m:oMath>
        <m:r>
          <m:t>E</m:t>
        </m:r>
      </m:oMath>
      <w:r>
        <w:t xml:space="preserve"> </w:t>
      </w:r>
      <w:r>
        <w:t xml:space="preserve">are dependent given</w:t>
      </w:r>
      <w:r>
        <w:t xml:space="preserve"> </w:t>
      </w:r>
      <m:oMath>
        <m:r>
          <m:t>Y</m:t>
        </m:r>
        <m:r>
          <m:rPr>
            <m:sty m:val="p"/>
          </m:rPr>
          <m:t>=</m:t>
        </m:r>
        <m:r>
          <m:t>0</m:t>
        </m:r>
      </m:oMath>
      <w:r>
        <w:t xml:space="preserve"> </w:t>
      </w:r>
      <w:r>
        <w:t xml:space="preserve">(in fact within both strata of</w:t>
      </w:r>
      <w:r>
        <w:t xml:space="preserve"> </w:t>
      </w:r>
      <m:oMath>
        <m:r>
          <m:t>Y</m:t>
        </m:r>
      </m:oMath>
      <w:r>
        <w:t xml:space="preserve">) when any of these hold:</w:t>
      </w:r>
    </w:p>
    <w:p>
      <w:pPr>
        <w:pStyle w:val="Compact"/>
        <w:numPr>
          <w:ilvl w:val="0"/>
          <w:numId w:val="1019"/>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Adding the unmeasured</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that functionally determine</w:t>
      </w:r>
      <w:r>
        <w:t xml:space="preserve"> </w:t>
      </w:r>
      <m:oMath>
        <m:r>
          <m:t>Y</m:t>
        </m:r>
      </m:oMath>
      <w:r>
        <w:t xml:space="preserve"> </w:t>
      </w:r>
      <w:r>
        <w:t xml:space="preserve">gives an</w:t>
      </w:r>
      <w:r>
        <w:t xml:space="preserve"> </w:t>
      </w:r>
      <w:r>
        <w:rPr>
          <w:b/>
          <w:bCs/>
        </w:rPr>
        <w:t xml:space="preserve">augmented causal diagram</w:t>
      </w:r>
      <w:r>
        <w:t xml:space="preserve"> </w:t>
      </w:r>
      <w:r>
        <w:t xml:space="preserve">that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dependence given</w:t>
      </w:r>
      <w:r>
        <w:t xml:space="preserve"> </w:t>
      </w:r>
      <m:oMath>
        <m:r>
          <m:t>Y</m:t>
        </m:r>
        <m:r>
          <m:rPr>
            <m:sty m:val="p"/>
          </m:rPr>
          <m:t>=</m:t>
        </m:r>
        <m:r>
          <m:t>1</m:t>
        </m:r>
      </m:oMath>
      <w:r>
        <w:t xml:space="preserve">.</w:t>
      </w:r>
      <w:r>
        <w:t xml:space="preserve"> </w:t>
      </w: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p>
      <w:pPr>
        <w:pStyle w:val="FirstParagraph"/>
      </w:pPr>
      <w:r>
        <w:rPr>
          <w:b/>
          <w:bCs/>
        </w:rPr>
        <w:t xml:space="preserve">Summary of Section 8.6</w:t>
      </w:r>
      <w:r>
        <w:t xml:space="preserve">: conditioning on a collider always induces an association between its causes, 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A</w:t>
            </w:r>
            <w:r>
              <w:t xml:space="preserve"> </w:t>
            </w:r>
            <w:r>
              <w:rPr>
                <w:b/>
                <w:bCs/>
              </w:rPr>
              <w:t xml:space="preserve">multiplicative survival model</w:t>
            </w:r>
            <w:r>
              <w:t xml:space="preserve"> </w:t>
            </w:r>
            <w:r>
              <w:t xml:space="preserve">holds when survival given</w:t>
            </w:r>
            <w:r>
              <w:t xml:space="preserve"> </w:t>
            </w:r>
            <m:oMath>
              <m:r>
                <m:t>A</m:t>
              </m:r>
            </m:oMath>
            <w:r>
              <w:t xml:space="preserve"> </w:t>
            </w:r>
            <w:r>
              <w:t xml:space="preserve">and</w:t>
            </w:r>
            <w:r>
              <w:t xml:space="preserve"> </w:t>
            </w:r>
            <m:oMath>
              <m:r>
                <m:t>E</m:t>
              </m:r>
            </m:oMath>
            <w:r>
              <w:t xml:space="preserve"> </w:t>
            </w:r>
            <w:r>
              <w:t xml:space="preserve">factors into a function of</w:t>
            </w:r>
            <w:r>
              <w:t xml:space="preserve"> </w:t>
            </w:r>
            <m:oMath>
              <m:r>
                <m:t>e</m:t>
              </m:r>
            </m:oMath>
            <w:r>
              <w:t xml:space="preserve"> </w:t>
            </w:r>
            <w:r>
              <w:t xml:space="preserve">times a function of</w:t>
            </w:r>
            <w:r>
              <w:t xml:space="preserve"> </w:t>
            </w:r>
            <m:oMath>
              <m:r>
                <m:t>a</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pPr>
              <w:spacing w:after="16"/>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Hence,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in general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0"/>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no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0"/>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36"/>
    <w:bookmarkEnd w:id="37"/>
    <w:bookmarkStart w:id="38"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1"/>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1"/>
        </w:numPr>
      </w:pPr>
      <w:r>
        <w:rPr>
          <w:b/>
          <w:bCs/>
        </w:rPr>
        <w:t xml:space="preserve">Examples</w:t>
      </w:r>
      <w:r>
        <w:t xml:space="preserve"> </w:t>
      </w:r>
      <w:r>
        <w:t xml:space="preserve">(Figures 8.3-8.6):</w:t>
      </w:r>
    </w:p>
    <w:p>
      <w:pPr>
        <w:pStyle w:val="Compact"/>
        <w:numPr>
          <w:ilvl w:val="1"/>
          <w:numId w:val="1022"/>
        </w:numPr>
      </w:pPr>
      <w:r>
        <w:t xml:space="preserve">Differential loss to follow-up (informative censoring)</w:t>
      </w:r>
    </w:p>
    <w:p>
      <w:pPr>
        <w:pStyle w:val="Compact"/>
        <w:numPr>
          <w:ilvl w:val="1"/>
          <w:numId w:val="1022"/>
        </w:numPr>
      </w:pPr>
      <w:r>
        <w:t xml:space="preserve">Missing data and nonresponse bias</w:t>
      </w:r>
    </w:p>
    <w:p>
      <w:pPr>
        <w:pStyle w:val="Compact"/>
        <w:numPr>
          <w:ilvl w:val="1"/>
          <w:numId w:val="1022"/>
        </w:numPr>
      </w:pPr>
      <w:r>
        <w:t xml:space="preserve">Healthy worker bias</w:t>
      </w:r>
    </w:p>
    <w:p>
      <w:pPr>
        <w:pStyle w:val="Compact"/>
        <w:numPr>
          <w:ilvl w:val="1"/>
          <w:numId w:val="1022"/>
        </w:numPr>
      </w:pPr>
      <w:r>
        <w:t xml:space="preserve">Self-selection and volunteer bias</w:t>
      </w:r>
    </w:p>
    <w:p>
      <w:pPr>
        <w:pStyle w:val="Compact"/>
        <w:numPr>
          <w:ilvl w:val="1"/>
          <w:numId w:val="1022"/>
        </w:numPr>
      </w:pPr>
      <w:r>
        <w:t xml:space="preserve">Selection affected by pre-study treatment</w:t>
      </w:r>
    </w:p>
    <w:p>
      <w:pPr>
        <w:numPr>
          <w:ilvl w:val="0"/>
          <w:numId w:val="1021"/>
        </w:numPr>
      </w:pPr>
      <w:r>
        <w:rPr>
          <w:b/>
          <w:bCs/>
        </w:rPr>
        <w:t xml:space="preserve">Selection bias vs. confounding</w:t>
      </w:r>
      <w:r>
        <w:t xml:space="preserve">:</w:t>
      </w:r>
    </w:p>
    <w:p>
      <w:pPr>
        <w:pStyle w:val="Compact"/>
        <w:numPr>
          <w:ilvl w:val="1"/>
          <w:numId w:val="1023"/>
        </w:numPr>
      </w:pPr>
      <w:r>
        <w:t xml:space="preserve">Confounding: common causes (</w:t>
      </w:r>
      <m:oMath>
        <m:r>
          <m:t>A</m:t>
        </m:r>
        <m:r>
          <m:rPr>
            <m:sty m:val="p"/>
          </m:rPr>
          <m:t>←</m:t>
        </m:r>
        <m:r>
          <m:t>L</m:t>
        </m:r>
        <m:r>
          <m:rPr>
            <m:sty m:val="p"/>
          </m:rPr>
          <m:t>→</m:t>
        </m:r>
        <m:r>
          <m:t>Y</m:t>
        </m:r>
      </m:oMath>
      <w:r>
        <w:t xml:space="preserve">)</w:t>
      </w:r>
    </w:p>
    <w:p>
      <w:pPr>
        <w:pStyle w:val="Compact"/>
        <w:numPr>
          <w:ilvl w:val="1"/>
          <w:numId w:val="1023"/>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3"/>
        </w:numPr>
      </w:pPr>
      <w:r>
        <w:t xml:space="preserve">Randomization prevents confounding but not selection bias that occurs after randomization</w:t>
      </w:r>
    </w:p>
    <w:p>
      <w:pPr>
        <w:numPr>
          <w:ilvl w:val="0"/>
          <w:numId w:val="1021"/>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1"/>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Under the null, stratification on</w:t>
      </w:r>
      <w:r>
        <w:t xml:space="preserve"> </w:t>
      </w:r>
      <m:oMath>
        <m:r>
          <m:t>L</m:t>
        </m:r>
      </m:oMath>
      <w:r>
        <w:t xml:space="preserve"> </w:t>
      </w:r>
      <w:r>
        <w:t xml:space="preserve">works in Figures 8.3 and 8.5 but not in Figures 8.4 and 8.6.</w:t>
      </w:r>
    </w:p>
    <w:p>
      <w:pPr>
        <w:numPr>
          <w:ilvl w:val="0"/>
          <w:numId w:val="1021"/>
        </w:numPr>
      </w:pPr>
      <w:r>
        <w:rPr>
          <w:b/>
          <w:bCs/>
        </w:rPr>
        <w:t xml:space="preserve">Selection without bias</w:t>
      </w:r>
      <w:r>
        <w:t xml:space="preserve">: when the data follow a multiplicative survival model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though not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4"/>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4"/>
        </w:numPr>
      </w:pPr>
      <w:r>
        <w:rPr>
          <w:b/>
          <w:bCs/>
        </w:rPr>
        <w:t xml:space="preserve">Analysis</w:t>
      </w:r>
      <w:r>
        <w:t xml:space="preserve">: use causal diagrams to identify the structure of selection bias and choose an adjustment method.</w:t>
      </w:r>
    </w:p>
    <w:p>
      <w:pPr>
        <w:numPr>
          <w:ilvl w:val="0"/>
          <w:numId w:val="1024"/>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5"/>
        </w:numPr>
      </w:pPr>
      <w:r>
        <w:rPr>
          <w:b/>
          <w:bCs/>
        </w:rPr>
        <w:t xml:space="preserve">Chapter 9</w:t>
      </w:r>
      <w:r>
        <w:t xml:space="preserve">: Measurement bias</w:t>
      </w:r>
    </w:p>
    <w:p>
      <w:pPr>
        <w:pStyle w:val="Compact"/>
        <w:numPr>
          <w:ilvl w:val="0"/>
          <w:numId w:val="1025"/>
        </w:numPr>
      </w:pPr>
      <w:r>
        <w:rPr>
          <w:b/>
          <w:bCs/>
        </w:rPr>
        <w:t xml:space="preserve">Chapter 12</w:t>
      </w:r>
      <w:r>
        <w:t xml:space="preserve">: IP weighting in detail, including weights for censoring</w:t>
      </w:r>
    </w:p>
    <w:p>
      <w:pPr>
        <w:pStyle w:val="Compact"/>
        <w:numPr>
          <w:ilvl w:val="0"/>
          <w:numId w:val="1025"/>
        </w:numPr>
      </w:pPr>
      <w:r>
        <w:rPr>
          <w:b/>
          <w:bCs/>
        </w:rPr>
        <w:t xml:space="preserve">Part III</w:t>
      </w:r>
      <w:r>
        <w:t xml:space="preserve">: time-varying treatments, where conventional adjustment can itself introduce selection bias</w:t>
      </w:r>
    </w:p>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24" Type="http://schemas.openxmlformats.org/officeDocument/2006/relationships/hyperlink" Target="03-observational-studies.qmd" TargetMode="Externa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4" Type="http://schemas.openxmlformats.org/officeDocument/2006/relationships/hyperlink" Target="03-observational-studies.qmd" TargetMode="External"/><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2026-10-02T17:30:14Z</dcterms:created>
  <dcterms:modified xsi:type="dcterms:W3CDTF">2026-10-02T17:30:14Z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