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1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In a linear structural equation model, this decomposition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“product of coefficients”</w:t>
      </w:r>
      <w:r>
        <w:t xml:space="preserve">)</w:t>
      </w:r>
      <w:r>
        <w:t xml:space="preserve"> </w:t>
      </w:r>
      <w:r>
        <w:t xml:space="preserve">and the direct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total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0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1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9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0"/>
    <w:bookmarkEnd w:id="11"/>
    <w:bookmarkStart w:id="15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2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3"/>
        </w:tc>
      </w:tr>
    </w:tbl>
    <w:bookmarkStart w:id="14" w:name="the-decomposition"/>
    <w:p>
      <w:pPr>
        <w:pStyle w:val="Heading3"/>
      </w:pPr>
      <w:r>
        <w:t xml:space="preserve">2.1 The Decomposition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NDE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NIE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always holds on the additive (difference) scale.</w:t>
      </w:r>
      <w:r>
        <w:t xml:space="preserve"> </w:t>
      </w: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4"/>
    <w:bookmarkEnd w:id="15"/>
    <w:bookmarkStart w:id="18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4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6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7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7"/>
    <w:bookmarkEnd w:id="18"/>
    <w:bookmarkStart w:id="26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5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0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0"/>
    <w:bookmarkStart w:id="25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6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1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5"/>
    <w:bookmarkEnd w:id="26"/>
    <w:bookmarkStart w:id="2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7"/>
    <w:bookmarkStart w:id="3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2026-10-01T21:10:19Z</dcterms:created>
  <dcterms:modified xsi:type="dcterms:W3CDTF">2026-10-01T21:10:19Z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